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4194F" w14:textId="66537941" w:rsidR="008B1B3D" w:rsidRPr="004D3406" w:rsidRDefault="008B1B3D" w:rsidP="00D82D84">
      <w:pPr>
        <w:ind w:left="-709" w:right="536"/>
        <w:contextualSpacing/>
        <w:rPr>
          <w:rFonts w:ascii="Arial" w:hAnsi="Arial" w:cs="Arial"/>
          <w:b/>
          <w:sz w:val="20"/>
          <w:szCs w:val="20"/>
        </w:rPr>
      </w:pPr>
      <w:r w:rsidRPr="004D3406">
        <w:rPr>
          <w:rFonts w:ascii="Arial" w:hAnsi="Arial" w:cs="Arial"/>
          <w:b/>
          <w:sz w:val="20"/>
          <w:szCs w:val="20"/>
        </w:rPr>
        <w:t>DJEČJI VRTIĆ KOTORIBA</w:t>
      </w:r>
      <w:r w:rsidRPr="004D3406">
        <w:rPr>
          <w:rFonts w:ascii="Arial" w:hAnsi="Arial" w:cs="Arial"/>
          <w:b/>
          <w:sz w:val="20"/>
          <w:szCs w:val="20"/>
        </w:rPr>
        <w:tab/>
      </w:r>
      <w:r w:rsidRPr="004D3406">
        <w:rPr>
          <w:rFonts w:ascii="Arial" w:hAnsi="Arial" w:cs="Arial"/>
          <w:b/>
          <w:sz w:val="20"/>
          <w:szCs w:val="20"/>
        </w:rPr>
        <w:tab/>
      </w:r>
      <w:r w:rsidRPr="004D3406">
        <w:rPr>
          <w:rFonts w:ascii="Arial" w:hAnsi="Arial" w:cs="Arial"/>
          <w:b/>
          <w:sz w:val="20"/>
          <w:szCs w:val="20"/>
        </w:rPr>
        <w:tab/>
      </w:r>
      <w:r w:rsidRPr="004D3406">
        <w:rPr>
          <w:rFonts w:ascii="Arial" w:hAnsi="Arial" w:cs="Arial"/>
          <w:b/>
          <w:sz w:val="20"/>
          <w:szCs w:val="20"/>
        </w:rPr>
        <w:tab/>
      </w:r>
      <w:r w:rsidR="00D82D84">
        <w:rPr>
          <w:rFonts w:ascii="Arial" w:hAnsi="Arial" w:cs="Arial"/>
          <w:b/>
          <w:sz w:val="20"/>
          <w:szCs w:val="20"/>
        </w:rPr>
        <w:t xml:space="preserve">                 </w:t>
      </w:r>
      <w:bookmarkStart w:id="0" w:name="_GoBack"/>
      <w:bookmarkEnd w:id="0"/>
      <w:r w:rsidR="00D82D84">
        <w:rPr>
          <w:rFonts w:ascii="Arial" w:hAnsi="Arial" w:cs="Arial"/>
          <w:b/>
          <w:sz w:val="20"/>
          <w:szCs w:val="20"/>
        </w:rPr>
        <w:t xml:space="preserve">                                                                                                                    </w:t>
      </w:r>
      <w:r w:rsidRPr="004D3406">
        <w:rPr>
          <w:rFonts w:ascii="Arial" w:hAnsi="Arial" w:cs="Arial"/>
          <w:b/>
          <w:sz w:val="20"/>
          <w:szCs w:val="20"/>
        </w:rPr>
        <w:t>Matični broj: 01397737</w:t>
      </w:r>
    </w:p>
    <w:p w14:paraId="15BBA15A" w14:textId="431ADB1B" w:rsidR="008B1B3D" w:rsidRPr="004D3406" w:rsidRDefault="008B1B3D" w:rsidP="00D82D84">
      <w:pPr>
        <w:ind w:left="-709"/>
        <w:contextualSpacing/>
        <w:rPr>
          <w:rFonts w:ascii="Arial" w:hAnsi="Arial" w:cs="Arial"/>
          <w:b/>
          <w:sz w:val="20"/>
          <w:szCs w:val="20"/>
        </w:rPr>
      </w:pPr>
      <w:r w:rsidRPr="004D3406">
        <w:rPr>
          <w:rFonts w:ascii="Arial" w:hAnsi="Arial" w:cs="Arial"/>
          <w:sz w:val="20"/>
          <w:szCs w:val="20"/>
        </w:rPr>
        <w:tab/>
      </w:r>
      <w:r w:rsidRPr="004D3406">
        <w:rPr>
          <w:rFonts w:ascii="Arial" w:hAnsi="Arial" w:cs="Arial"/>
          <w:sz w:val="20"/>
          <w:szCs w:val="20"/>
        </w:rPr>
        <w:tab/>
      </w:r>
      <w:r w:rsidRPr="004D3406">
        <w:rPr>
          <w:rFonts w:ascii="Arial" w:hAnsi="Arial" w:cs="Arial"/>
          <w:sz w:val="20"/>
          <w:szCs w:val="20"/>
        </w:rPr>
        <w:tab/>
      </w:r>
      <w:r w:rsidRPr="004D3406">
        <w:rPr>
          <w:rFonts w:ascii="Arial" w:hAnsi="Arial" w:cs="Arial"/>
          <w:sz w:val="20"/>
          <w:szCs w:val="20"/>
        </w:rPr>
        <w:tab/>
      </w:r>
      <w:r w:rsidRPr="004D3406">
        <w:rPr>
          <w:rFonts w:ascii="Arial" w:hAnsi="Arial" w:cs="Arial"/>
          <w:sz w:val="20"/>
          <w:szCs w:val="20"/>
        </w:rPr>
        <w:tab/>
      </w:r>
      <w:r w:rsidRPr="004D3406">
        <w:rPr>
          <w:rFonts w:ascii="Arial" w:hAnsi="Arial" w:cs="Arial"/>
          <w:sz w:val="20"/>
          <w:szCs w:val="20"/>
        </w:rPr>
        <w:tab/>
      </w:r>
      <w:r w:rsidRPr="004D3406">
        <w:rPr>
          <w:rFonts w:ascii="Arial" w:hAnsi="Arial" w:cs="Arial"/>
          <w:sz w:val="20"/>
          <w:szCs w:val="20"/>
        </w:rPr>
        <w:tab/>
      </w:r>
      <w:r w:rsidR="00D82D84" w:rsidRPr="004D3406">
        <w:rPr>
          <w:rFonts w:ascii="Arial" w:hAnsi="Arial" w:cs="Arial"/>
          <w:b/>
          <w:sz w:val="20"/>
          <w:szCs w:val="20"/>
        </w:rPr>
        <w:t xml:space="preserve">40329 </w:t>
      </w:r>
      <w:proofErr w:type="spellStart"/>
      <w:r w:rsidR="00D82D84" w:rsidRPr="004D3406">
        <w:rPr>
          <w:rFonts w:ascii="Arial" w:hAnsi="Arial" w:cs="Arial"/>
          <w:b/>
          <w:sz w:val="20"/>
          <w:szCs w:val="20"/>
        </w:rPr>
        <w:t>Kotoriba</w:t>
      </w:r>
      <w:proofErr w:type="spellEnd"/>
      <w:r w:rsidR="00D82D84">
        <w:rPr>
          <w:rFonts w:ascii="Arial" w:hAnsi="Arial" w:cs="Arial"/>
          <w:sz w:val="20"/>
          <w:szCs w:val="20"/>
        </w:rPr>
        <w:t xml:space="preserve">                                                                                                                                                                                                    </w:t>
      </w:r>
      <w:r w:rsidRPr="004D3406">
        <w:rPr>
          <w:rFonts w:ascii="Arial" w:hAnsi="Arial" w:cs="Arial"/>
          <w:b/>
          <w:sz w:val="20"/>
          <w:szCs w:val="20"/>
        </w:rPr>
        <w:t>OIB:75248942381</w:t>
      </w:r>
    </w:p>
    <w:p w14:paraId="0C35BF0A" w14:textId="62F1070F" w:rsidR="008B1B3D" w:rsidRPr="004D3406" w:rsidRDefault="008B1B3D" w:rsidP="00312910">
      <w:pPr>
        <w:ind w:left="-709"/>
        <w:contextualSpacing/>
        <w:rPr>
          <w:rFonts w:ascii="Arial" w:hAnsi="Arial" w:cs="Arial"/>
          <w:b/>
          <w:sz w:val="20"/>
          <w:szCs w:val="20"/>
        </w:rPr>
      </w:pPr>
      <w:r w:rsidRPr="004D3406">
        <w:rPr>
          <w:rFonts w:ascii="Arial" w:hAnsi="Arial" w:cs="Arial"/>
          <w:b/>
          <w:sz w:val="20"/>
          <w:szCs w:val="20"/>
        </w:rPr>
        <w:tab/>
      </w:r>
      <w:r w:rsidRPr="004D3406">
        <w:rPr>
          <w:rFonts w:ascii="Arial" w:hAnsi="Arial" w:cs="Arial"/>
          <w:b/>
          <w:sz w:val="20"/>
          <w:szCs w:val="20"/>
        </w:rPr>
        <w:tab/>
      </w:r>
      <w:r w:rsidRPr="004D3406">
        <w:rPr>
          <w:rFonts w:ascii="Arial" w:hAnsi="Arial" w:cs="Arial"/>
          <w:b/>
          <w:sz w:val="20"/>
          <w:szCs w:val="20"/>
        </w:rPr>
        <w:tab/>
      </w:r>
      <w:r w:rsidRPr="004D3406">
        <w:rPr>
          <w:rFonts w:ascii="Arial" w:hAnsi="Arial" w:cs="Arial"/>
          <w:b/>
          <w:sz w:val="20"/>
          <w:szCs w:val="20"/>
        </w:rPr>
        <w:tab/>
      </w:r>
      <w:r w:rsidRPr="004D3406">
        <w:rPr>
          <w:rFonts w:ascii="Arial" w:hAnsi="Arial" w:cs="Arial"/>
          <w:b/>
          <w:sz w:val="20"/>
          <w:szCs w:val="20"/>
        </w:rPr>
        <w:tab/>
      </w:r>
      <w:proofErr w:type="spellStart"/>
      <w:r w:rsidR="00D82D84" w:rsidRPr="004D3406">
        <w:rPr>
          <w:rFonts w:ascii="Arial" w:hAnsi="Arial" w:cs="Arial"/>
          <w:b/>
          <w:sz w:val="20"/>
          <w:szCs w:val="20"/>
        </w:rPr>
        <w:t>Ignaca</w:t>
      </w:r>
      <w:proofErr w:type="spellEnd"/>
      <w:r w:rsidR="00D82D84" w:rsidRPr="004D3406">
        <w:rPr>
          <w:rFonts w:ascii="Arial" w:hAnsi="Arial" w:cs="Arial"/>
          <w:b/>
          <w:sz w:val="20"/>
          <w:szCs w:val="20"/>
        </w:rPr>
        <w:t xml:space="preserve"> </w:t>
      </w:r>
      <w:proofErr w:type="spellStart"/>
      <w:r w:rsidR="00D82D84" w:rsidRPr="004D3406">
        <w:rPr>
          <w:rFonts w:ascii="Arial" w:hAnsi="Arial" w:cs="Arial"/>
          <w:b/>
          <w:sz w:val="20"/>
          <w:szCs w:val="20"/>
        </w:rPr>
        <w:t>Svetomartinskog</w:t>
      </w:r>
      <w:proofErr w:type="spellEnd"/>
      <w:r w:rsidR="00D82D84" w:rsidRPr="004D3406">
        <w:rPr>
          <w:rFonts w:ascii="Arial" w:hAnsi="Arial" w:cs="Arial"/>
          <w:b/>
          <w:sz w:val="20"/>
          <w:szCs w:val="20"/>
        </w:rPr>
        <w:t xml:space="preserve"> 1</w:t>
      </w:r>
      <w:r w:rsidR="00D82D84">
        <w:rPr>
          <w:rFonts w:ascii="Arial" w:hAnsi="Arial" w:cs="Arial"/>
          <w:b/>
          <w:sz w:val="20"/>
          <w:szCs w:val="20"/>
        </w:rPr>
        <w:t xml:space="preserve">                                                                                                                                                                                 </w:t>
      </w:r>
      <w:r w:rsidRPr="004D3406">
        <w:rPr>
          <w:rFonts w:ascii="Arial" w:hAnsi="Arial" w:cs="Arial"/>
          <w:b/>
          <w:sz w:val="20"/>
          <w:szCs w:val="20"/>
        </w:rPr>
        <w:t>Šifra djelatnosti: 8510</w:t>
      </w:r>
      <w:r w:rsidRPr="004D3406">
        <w:rPr>
          <w:rFonts w:ascii="Arial" w:hAnsi="Arial" w:cs="Arial"/>
          <w:b/>
          <w:sz w:val="20"/>
          <w:szCs w:val="20"/>
        </w:rPr>
        <w:tab/>
      </w:r>
      <w:r w:rsidRPr="004D3406">
        <w:rPr>
          <w:rFonts w:ascii="Arial" w:hAnsi="Arial" w:cs="Arial"/>
          <w:b/>
          <w:sz w:val="20"/>
          <w:szCs w:val="20"/>
        </w:rPr>
        <w:tab/>
      </w:r>
      <w:r w:rsidRPr="004D3406">
        <w:rPr>
          <w:rFonts w:ascii="Arial" w:hAnsi="Arial" w:cs="Arial"/>
          <w:b/>
          <w:sz w:val="20"/>
          <w:szCs w:val="20"/>
        </w:rPr>
        <w:tab/>
      </w:r>
      <w:r w:rsidRPr="004D3406">
        <w:rPr>
          <w:rFonts w:ascii="Arial" w:hAnsi="Arial" w:cs="Arial"/>
          <w:b/>
          <w:sz w:val="20"/>
          <w:szCs w:val="20"/>
        </w:rPr>
        <w:tab/>
      </w:r>
      <w:r w:rsidR="00D82D84">
        <w:rPr>
          <w:rFonts w:ascii="Arial" w:hAnsi="Arial" w:cs="Arial"/>
          <w:b/>
          <w:sz w:val="20"/>
          <w:szCs w:val="20"/>
        </w:rPr>
        <w:t xml:space="preserve">                                                                                                                                                                                                                 </w:t>
      </w:r>
      <w:r w:rsidRPr="004D3406">
        <w:rPr>
          <w:rFonts w:ascii="Arial" w:hAnsi="Arial" w:cs="Arial"/>
          <w:b/>
          <w:sz w:val="20"/>
          <w:szCs w:val="20"/>
        </w:rPr>
        <w:t>Broj računa: HR4623400091116024462</w:t>
      </w:r>
    </w:p>
    <w:p w14:paraId="4FE4C323" w14:textId="77777777" w:rsidR="008B1B3D" w:rsidRDefault="008B1B3D" w:rsidP="00D82D84">
      <w:pPr>
        <w:ind w:left="-709"/>
        <w:contextualSpacing/>
        <w:rPr>
          <w:rFonts w:ascii="Arial" w:hAnsi="Arial" w:cs="Arial"/>
          <w:b/>
          <w:sz w:val="24"/>
          <w:szCs w:val="24"/>
        </w:rPr>
      </w:pPr>
    </w:p>
    <w:p w14:paraId="3563F402" w14:textId="77777777" w:rsidR="00D82D84" w:rsidRPr="004D3406" w:rsidRDefault="00D82D84" w:rsidP="00530D4F">
      <w:pPr>
        <w:ind w:left="-709"/>
        <w:contextualSpacing/>
        <w:jc w:val="both"/>
        <w:rPr>
          <w:rFonts w:ascii="Arial" w:hAnsi="Arial" w:cs="Arial"/>
          <w:b/>
          <w:sz w:val="24"/>
          <w:szCs w:val="24"/>
        </w:rPr>
      </w:pPr>
    </w:p>
    <w:p w14:paraId="161EF1F4" w14:textId="71AC3555" w:rsidR="008B1B3D" w:rsidRDefault="00497A48" w:rsidP="00530D4F">
      <w:pPr>
        <w:ind w:left="-709"/>
        <w:contextualSpacing/>
        <w:jc w:val="both"/>
        <w:rPr>
          <w:rFonts w:ascii="Arial" w:hAnsi="Arial" w:cs="Arial"/>
          <w:b/>
          <w:sz w:val="24"/>
          <w:szCs w:val="24"/>
        </w:rPr>
      </w:pPr>
      <w:r>
        <w:rPr>
          <w:rFonts w:ascii="Arial" w:hAnsi="Arial" w:cs="Arial"/>
          <w:b/>
          <w:sz w:val="24"/>
          <w:szCs w:val="24"/>
        </w:rPr>
        <w:t xml:space="preserve">                                                                 </w:t>
      </w:r>
      <w:r w:rsidR="009A7A28">
        <w:rPr>
          <w:rFonts w:ascii="Arial" w:hAnsi="Arial" w:cs="Arial"/>
          <w:b/>
          <w:sz w:val="24"/>
          <w:szCs w:val="24"/>
        </w:rPr>
        <w:t>BILJEŠKE</w:t>
      </w:r>
    </w:p>
    <w:p w14:paraId="6F0B2A0C" w14:textId="77777777" w:rsidR="009A7A28" w:rsidRPr="008B1B3D" w:rsidRDefault="009A7A28" w:rsidP="00530D4F">
      <w:pPr>
        <w:ind w:left="-709"/>
        <w:contextualSpacing/>
        <w:jc w:val="both"/>
        <w:rPr>
          <w:rFonts w:ascii="Arial" w:hAnsi="Arial" w:cs="Arial"/>
          <w:b/>
          <w:sz w:val="24"/>
          <w:szCs w:val="24"/>
        </w:rPr>
      </w:pPr>
    </w:p>
    <w:p w14:paraId="7382DFDC" w14:textId="7686E8F3" w:rsidR="008B1B3D" w:rsidRDefault="008B1B3D" w:rsidP="00D35F4F">
      <w:pPr>
        <w:ind w:left="-709"/>
        <w:contextualSpacing/>
        <w:jc w:val="center"/>
        <w:rPr>
          <w:rFonts w:ascii="Arial" w:hAnsi="Arial" w:cs="Arial"/>
          <w:b/>
        </w:rPr>
      </w:pPr>
      <w:r w:rsidRPr="009A7A28">
        <w:rPr>
          <w:rFonts w:ascii="Arial" w:hAnsi="Arial" w:cs="Arial"/>
          <w:b/>
        </w:rPr>
        <w:t xml:space="preserve">Izvještaj o prihodima i rashodima, primicima i izdacima za razdoblje od 01. siječnja do </w:t>
      </w:r>
      <w:r w:rsidR="009A7A28">
        <w:rPr>
          <w:rFonts w:ascii="Arial" w:hAnsi="Arial" w:cs="Arial"/>
          <w:b/>
        </w:rPr>
        <w:t>31. prosinca 2024</w:t>
      </w:r>
      <w:r w:rsidRPr="009A7A28">
        <w:rPr>
          <w:rFonts w:ascii="Arial" w:hAnsi="Arial" w:cs="Arial"/>
          <w:b/>
        </w:rPr>
        <w:t>.godine</w:t>
      </w:r>
    </w:p>
    <w:p w14:paraId="30A3A1D9" w14:textId="77777777" w:rsidR="00497A48" w:rsidRPr="009A7A28" w:rsidRDefault="00497A48" w:rsidP="00530D4F">
      <w:pPr>
        <w:ind w:left="-709"/>
        <w:contextualSpacing/>
        <w:jc w:val="both"/>
        <w:rPr>
          <w:rFonts w:ascii="Arial" w:hAnsi="Arial" w:cs="Arial"/>
          <w:b/>
        </w:rPr>
      </w:pPr>
    </w:p>
    <w:p w14:paraId="7ED2EF6F" w14:textId="68DF4823" w:rsidR="008B1B3D" w:rsidRPr="00865E71" w:rsidRDefault="008B1B3D" w:rsidP="00530D4F">
      <w:pPr>
        <w:jc w:val="both"/>
        <w:rPr>
          <w:rFonts w:ascii="Arial" w:hAnsi="Arial" w:cs="Arial"/>
          <w:b/>
          <w:sz w:val="20"/>
          <w:szCs w:val="20"/>
        </w:rPr>
      </w:pPr>
      <w:r w:rsidRPr="00865E71">
        <w:rPr>
          <w:rFonts w:ascii="Arial" w:hAnsi="Arial" w:cs="Arial"/>
          <w:b/>
          <w:sz w:val="20"/>
          <w:szCs w:val="20"/>
          <w:u w:val="single"/>
        </w:rPr>
        <w:t>VEĆA ODSTUPANAJA KOD OSTVARENIH  PRIHODA  U ODNOSU NA PRETHODNU GODINU:</w:t>
      </w:r>
    </w:p>
    <w:p w14:paraId="6727BBD5" w14:textId="77777777" w:rsidR="00833107" w:rsidRDefault="00497A48" w:rsidP="00530D4F">
      <w:pPr>
        <w:pStyle w:val="Bezproreda"/>
        <w:ind w:left="-709"/>
        <w:jc w:val="both"/>
        <w:rPr>
          <w:rFonts w:ascii="Arial" w:hAnsi="Arial" w:cs="Arial"/>
          <w:sz w:val="20"/>
          <w:szCs w:val="20"/>
        </w:rPr>
      </w:pPr>
      <w:r>
        <w:rPr>
          <w:rFonts w:ascii="Arial" w:hAnsi="Arial" w:cs="Arial"/>
          <w:sz w:val="20"/>
          <w:szCs w:val="20"/>
        </w:rPr>
        <w:t xml:space="preserve">Prihod </w:t>
      </w:r>
      <w:r w:rsidR="00833107">
        <w:rPr>
          <w:rFonts w:ascii="Arial" w:hAnsi="Arial" w:cs="Arial"/>
          <w:sz w:val="20"/>
          <w:szCs w:val="20"/>
        </w:rPr>
        <w:t>poslovanja u odnosu na prethodnu godinu je veći za 9,1% a odnosi se na:</w:t>
      </w:r>
    </w:p>
    <w:p w14:paraId="76DCB1FF" w14:textId="037CF4B8" w:rsidR="008B1B3D" w:rsidRPr="007B6079" w:rsidRDefault="008B1B3D" w:rsidP="00530D4F">
      <w:pPr>
        <w:pStyle w:val="Bezproreda"/>
        <w:ind w:left="-709"/>
        <w:jc w:val="both"/>
        <w:rPr>
          <w:rFonts w:ascii="Arial" w:hAnsi="Arial" w:cs="Arial"/>
          <w:sz w:val="20"/>
          <w:szCs w:val="20"/>
        </w:rPr>
      </w:pPr>
      <w:r w:rsidRPr="008B1B3D">
        <w:rPr>
          <w:rFonts w:ascii="Arial" w:hAnsi="Arial" w:cs="Arial"/>
          <w:b/>
          <w:sz w:val="20"/>
          <w:szCs w:val="20"/>
        </w:rPr>
        <w:t>- Pomoći proračunskim korisnicima iz proračuna koji im nije nadležan 636</w:t>
      </w:r>
      <w:r w:rsidR="00D8788C">
        <w:rPr>
          <w:rFonts w:ascii="Arial" w:hAnsi="Arial" w:cs="Arial"/>
          <w:b/>
          <w:sz w:val="20"/>
          <w:szCs w:val="20"/>
        </w:rPr>
        <w:t>1</w:t>
      </w:r>
      <w:r w:rsidR="00381A92">
        <w:rPr>
          <w:rFonts w:ascii="Arial" w:hAnsi="Arial" w:cs="Arial"/>
          <w:sz w:val="20"/>
          <w:szCs w:val="20"/>
        </w:rPr>
        <w:t xml:space="preserve"> </w:t>
      </w:r>
      <w:r w:rsidRPr="008B1B3D">
        <w:rPr>
          <w:rFonts w:ascii="Arial" w:hAnsi="Arial" w:cs="Arial"/>
          <w:sz w:val="20"/>
          <w:szCs w:val="20"/>
        </w:rPr>
        <w:t>u odnosu na isto razdoblje prošle godine već</w:t>
      </w:r>
      <w:r w:rsidR="00414135">
        <w:rPr>
          <w:rFonts w:ascii="Arial" w:hAnsi="Arial" w:cs="Arial"/>
          <w:sz w:val="20"/>
          <w:szCs w:val="20"/>
        </w:rPr>
        <w:t>e</w:t>
      </w:r>
      <w:r w:rsidRPr="008B1B3D">
        <w:rPr>
          <w:rFonts w:ascii="Arial" w:hAnsi="Arial" w:cs="Arial"/>
          <w:sz w:val="20"/>
          <w:szCs w:val="20"/>
        </w:rPr>
        <w:t xml:space="preserve"> su za</w:t>
      </w:r>
      <w:r w:rsidR="00430615">
        <w:rPr>
          <w:rFonts w:ascii="Arial" w:hAnsi="Arial" w:cs="Arial"/>
          <w:sz w:val="20"/>
          <w:szCs w:val="20"/>
        </w:rPr>
        <w:t xml:space="preserve"> </w:t>
      </w:r>
      <w:r w:rsidR="00381A92">
        <w:rPr>
          <w:rFonts w:ascii="Arial" w:hAnsi="Arial" w:cs="Arial"/>
          <w:sz w:val="20"/>
          <w:szCs w:val="20"/>
        </w:rPr>
        <w:t>52,3</w:t>
      </w:r>
      <w:r w:rsidRPr="008B1B3D">
        <w:rPr>
          <w:rFonts w:ascii="Arial" w:hAnsi="Arial" w:cs="Arial"/>
          <w:sz w:val="20"/>
          <w:szCs w:val="20"/>
        </w:rPr>
        <w:t>%</w:t>
      </w:r>
      <w:r w:rsidR="00381A92">
        <w:rPr>
          <w:rFonts w:ascii="Arial" w:hAnsi="Arial" w:cs="Arial"/>
          <w:sz w:val="20"/>
          <w:szCs w:val="20"/>
        </w:rPr>
        <w:t xml:space="preserve"> tj. </w:t>
      </w:r>
      <w:r w:rsidR="00414135">
        <w:rPr>
          <w:rFonts w:ascii="Arial" w:hAnsi="Arial" w:cs="Arial"/>
          <w:sz w:val="20"/>
          <w:szCs w:val="20"/>
        </w:rPr>
        <w:t xml:space="preserve">915,80 eura a odnose se na pomoć od </w:t>
      </w:r>
      <w:r w:rsidRPr="008B1B3D">
        <w:rPr>
          <w:rFonts w:ascii="Arial" w:hAnsi="Arial" w:cs="Arial"/>
          <w:sz w:val="20"/>
          <w:szCs w:val="20"/>
        </w:rPr>
        <w:t xml:space="preserve">Ministarstva znanosti i obrazovanje </w:t>
      </w:r>
      <w:r w:rsidR="00414135">
        <w:rPr>
          <w:rFonts w:ascii="Arial" w:hAnsi="Arial" w:cs="Arial"/>
          <w:sz w:val="20"/>
          <w:szCs w:val="20"/>
        </w:rPr>
        <w:t xml:space="preserve">za </w:t>
      </w:r>
      <w:r w:rsidRPr="008B1B3D">
        <w:rPr>
          <w:rFonts w:ascii="Arial" w:hAnsi="Arial" w:cs="Arial"/>
          <w:sz w:val="20"/>
          <w:szCs w:val="20"/>
        </w:rPr>
        <w:t>sufinanciran</w:t>
      </w:r>
      <w:r w:rsidR="00414135">
        <w:rPr>
          <w:rFonts w:ascii="Arial" w:hAnsi="Arial" w:cs="Arial"/>
          <w:sz w:val="20"/>
          <w:szCs w:val="20"/>
        </w:rPr>
        <w:t>je</w:t>
      </w:r>
      <w:r w:rsidRPr="008B1B3D">
        <w:rPr>
          <w:rFonts w:ascii="Arial" w:hAnsi="Arial" w:cs="Arial"/>
          <w:sz w:val="20"/>
          <w:szCs w:val="20"/>
        </w:rPr>
        <w:t xml:space="preserve"> Program</w:t>
      </w:r>
      <w:r w:rsidR="00414135">
        <w:rPr>
          <w:rFonts w:ascii="Arial" w:hAnsi="Arial" w:cs="Arial"/>
          <w:sz w:val="20"/>
          <w:szCs w:val="20"/>
        </w:rPr>
        <w:t>a</w:t>
      </w:r>
      <w:r w:rsidRPr="008B1B3D">
        <w:rPr>
          <w:rFonts w:ascii="Arial" w:hAnsi="Arial" w:cs="Arial"/>
          <w:sz w:val="20"/>
          <w:szCs w:val="20"/>
        </w:rPr>
        <w:t xml:space="preserve"> odgoja i obrazovanja djece predškolske dobi pripadnika nacionalnih manjina i Programa </w:t>
      </w:r>
      <w:proofErr w:type="spellStart"/>
      <w:r w:rsidRPr="008B1B3D">
        <w:rPr>
          <w:rFonts w:ascii="Arial" w:hAnsi="Arial" w:cs="Arial"/>
          <w:sz w:val="20"/>
          <w:szCs w:val="20"/>
        </w:rPr>
        <w:t>predškole</w:t>
      </w:r>
      <w:proofErr w:type="spellEnd"/>
      <w:r w:rsidRPr="008B1B3D">
        <w:rPr>
          <w:rFonts w:ascii="Arial" w:hAnsi="Arial" w:cs="Arial"/>
          <w:sz w:val="20"/>
          <w:szCs w:val="20"/>
        </w:rPr>
        <w:t xml:space="preserve"> za djecu predškolske dobi, Programa odgoja i obrazovanja djece s teškoćama u razvoju.</w:t>
      </w:r>
      <w:r w:rsidR="0003731E">
        <w:rPr>
          <w:rFonts w:ascii="Arial" w:hAnsi="Arial" w:cs="Arial"/>
          <w:sz w:val="20"/>
          <w:szCs w:val="20"/>
        </w:rPr>
        <w:t xml:space="preserve"> </w:t>
      </w:r>
      <w:r w:rsidRPr="007B6079">
        <w:rPr>
          <w:rFonts w:ascii="Arial" w:hAnsi="Arial" w:cs="Arial"/>
          <w:sz w:val="20"/>
          <w:szCs w:val="20"/>
        </w:rPr>
        <w:t>Sredstva se raspodjeljuju prema broju djece, a u 202</w:t>
      </w:r>
      <w:r w:rsidR="00430615" w:rsidRPr="007B6079">
        <w:rPr>
          <w:rFonts w:ascii="Arial" w:hAnsi="Arial" w:cs="Arial"/>
          <w:sz w:val="20"/>
          <w:szCs w:val="20"/>
        </w:rPr>
        <w:t>4</w:t>
      </w:r>
      <w:r w:rsidRPr="007B6079">
        <w:rPr>
          <w:rFonts w:ascii="Arial" w:hAnsi="Arial" w:cs="Arial"/>
          <w:sz w:val="20"/>
          <w:szCs w:val="20"/>
        </w:rPr>
        <w:t xml:space="preserve">. godini </w:t>
      </w:r>
      <w:r w:rsidR="00430615" w:rsidRPr="007B6079">
        <w:rPr>
          <w:rFonts w:ascii="Arial" w:hAnsi="Arial" w:cs="Arial"/>
          <w:sz w:val="20"/>
          <w:szCs w:val="20"/>
        </w:rPr>
        <w:t>povećao se</w:t>
      </w:r>
      <w:r w:rsidRPr="007B6079">
        <w:rPr>
          <w:rFonts w:ascii="Arial" w:hAnsi="Arial" w:cs="Arial"/>
          <w:sz w:val="20"/>
          <w:szCs w:val="20"/>
        </w:rPr>
        <w:t xml:space="preserve"> broj djece predškolske dobi u odnosu na 202</w:t>
      </w:r>
      <w:r w:rsidR="00430615" w:rsidRPr="007B6079">
        <w:rPr>
          <w:rFonts w:ascii="Arial" w:hAnsi="Arial" w:cs="Arial"/>
          <w:sz w:val="20"/>
          <w:szCs w:val="20"/>
        </w:rPr>
        <w:t>3.</w:t>
      </w:r>
      <w:r w:rsidRPr="007B6079">
        <w:rPr>
          <w:rFonts w:ascii="Arial" w:hAnsi="Arial" w:cs="Arial"/>
          <w:sz w:val="20"/>
          <w:szCs w:val="20"/>
        </w:rPr>
        <w:t xml:space="preserve"> godinu</w:t>
      </w:r>
      <w:r w:rsidR="00430615" w:rsidRPr="007B6079">
        <w:rPr>
          <w:rFonts w:ascii="Arial" w:hAnsi="Arial" w:cs="Arial"/>
          <w:sz w:val="20"/>
          <w:szCs w:val="20"/>
        </w:rPr>
        <w:t xml:space="preserve"> te se </w:t>
      </w:r>
      <w:r w:rsidRPr="007B6079">
        <w:rPr>
          <w:rFonts w:ascii="Arial" w:hAnsi="Arial" w:cs="Arial"/>
          <w:sz w:val="20"/>
          <w:szCs w:val="20"/>
        </w:rPr>
        <w:t xml:space="preserve"> povećao broj djece predškolske dobi nacionalnih manjina</w:t>
      </w:r>
      <w:r w:rsidR="00430615" w:rsidRPr="007B6079">
        <w:rPr>
          <w:rFonts w:ascii="Arial" w:hAnsi="Arial" w:cs="Arial"/>
          <w:sz w:val="20"/>
          <w:szCs w:val="20"/>
        </w:rPr>
        <w:t>.</w:t>
      </w:r>
    </w:p>
    <w:p w14:paraId="0BA58D6F" w14:textId="19914978" w:rsidR="008B1B3D" w:rsidRPr="00650B86" w:rsidRDefault="008B1B3D" w:rsidP="00530D4F">
      <w:pPr>
        <w:pStyle w:val="Bezproreda"/>
        <w:ind w:left="-709"/>
        <w:jc w:val="both"/>
        <w:rPr>
          <w:rFonts w:ascii="Arial" w:hAnsi="Arial" w:cs="Arial"/>
          <w:sz w:val="20"/>
          <w:szCs w:val="20"/>
        </w:rPr>
      </w:pPr>
      <w:r w:rsidRPr="00650B86">
        <w:rPr>
          <w:rFonts w:ascii="Arial" w:hAnsi="Arial" w:cs="Arial"/>
          <w:b/>
          <w:bCs/>
          <w:sz w:val="20"/>
          <w:szCs w:val="20"/>
        </w:rPr>
        <w:t>- Prihod od pozitivne kamate</w:t>
      </w:r>
      <w:r w:rsidR="00D8788C">
        <w:rPr>
          <w:rFonts w:ascii="Arial" w:hAnsi="Arial" w:cs="Arial"/>
          <w:b/>
          <w:bCs/>
          <w:sz w:val="20"/>
          <w:szCs w:val="20"/>
        </w:rPr>
        <w:t xml:space="preserve"> 6413</w:t>
      </w:r>
      <w:r w:rsidRPr="00650B86">
        <w:rPr>
          <w:rFonts w:ascii="Arial" w:hAnsi="Arial" w:cs="Arial"/>
          <w:sz w:val="20"/>
          <w:szCs w:val="20"/>
        </w:rPr>
        <w:t xml:space="preserve"> je znatno veći u postotku</w:t>
      </w:r>
      <w:r w:rsidR="00914A7F" w:rsidRPr="00650B86">
        <w:rPr>
          <w:rFonts w:ascii="Arial" w:hAnsi="Arial" w:cs="Arial"/>
          <w:sz w:val="20"/>
          <w:szCs w:val="20"/>
        </w:rPr>
        <w:t xml:space="preserve"> i to za 185,7%</w:t>
      </w:r>
      <w:r w:rsidRPr="00650B86">
        <w:rPr>
          <w:rFonts w:ascii="Arial" w:hAnsi="Arial" w:cs="Arial"/>
          <w:sz w:val="20"/>
          <w:szCs w:val="20"/>
        </w:rPr>
        <w:t xml:space="preserve"> </w:t>
      </w:r>
      <w:r w:rsidR="00457EA1" w:rsidRPr="00650B86">
        <w:rPr>
          <w:rFonts w:ascii="Arial" w:hAnsi="Arial" w:cs="Arial"/>
          <w:sz w:val="20"/>
          <w:szCs w:val="20"/>
        </w:rPr>
        <w:t>dok</w:t>
      </w:r>
      <w:r w:rsidRPr="00650B86">
        <w:rPr>
          <w:rFonts w:ascii="Arial" w:hAnsi="Arial" w:cs="Arial"/>
          <w:sz w:val="20"/>
          <w:szCs w:val="20"/>
        </w:rPr>
        <w:t xml:space="preserve"> u financijskom smislu veći je za </w:t>
      </w:r>
      <w:r w:rsidR="00914A7F" w:rsidRPr="00650B86">
        <w:rPr>
          <w:rFonts w:ascii="Arial" w:hAnsi="Arial" w:cs="Arial"/>
          <w:sz w:val="20"/>
          <w:szCs w:val="20"/>
        </w:rPr>
        <w:t>12,33</w:t>
      </w:r>
      <w:r w:rsidRPr="00650B86">
        <w:rPr>
          <w:rFonts w:ascii="Arial" w:hAnsi="Arial" w:cs="Arial"/>
          <w:sz w:val="20"/>
          <w:szCs w:val="20"/>
        </w:rPr>
        <w:t xml:space="preserve"> eur</w:t>
      </w:r>
      <w:r w:rsidR="0010606A" w:rsidRPr="00650B86">
        <w:rPr>
          <w:rFonts w:ascii="Arial" w:hAnsi="Arial" w:cs="Arial"/>
          <w:sz w:val="20"/>
          <w:szCs w:val="20"/>
        </w:rPr>
        <w:t>a</w:t>
      </w:r>
      <w:r w:rsidRPr="00650B86">
        <w:rPr>
          <w:rFonts w:ascii="Arial" w:hAnsi="Arial" w:cs="Arial"/>
          <w:sz w:val="20"/>
          <w:szCs w:val="20"/>
        </w:rPr>
        <w:t xml:space="preserve"> zbog pozitivnog stanja na transakcijskom računu u banci.</w:t>
      </w:r>
    </w:p>
    <w:p w14:paraId="692F904C" w14:textId="3BB3F571" w:rsidR="008B1B3D" w:rsidRPr="00FB4A3F" w:rsidRDefault="008B1B3D" w:rsidP="00530D4F">
      <w:pPr>
        <w:pStyle w:val="Bezproreda"/>
        <w:ind w:left="-709"/>
        <w:jc w:val="both"/>
        <w:rPr>
          <w:rFonts w:ascii="Arial" w:hAnsi="Arial" w:cs="Arial"/>
          <w:color w:val="FF0000"/>
          <w:sz w:val="20"/>
          <w:szCs w:val="20"/>
        </w:rPr>
      </w:pPr>
      <w:r w:rsidRPr="00FE4666">
        <w:rPr>
          <w:rFonts w:ascii="Arial" w:hAnsi="Arial" w:cs="Arial"/>
          <w:b/>
          <w:sz w:val="20"/>
          <w:szCs w:val="20"/>
        </w:rPr>
        <w:t>- Prihodi po posebnim propisima 652</w:t>
      </w:r>
      <w:r w:rsidR="00A445E6" w:rsidRPr="00FE4666">
        <w:rPr>
          <w:rFonts w:ascii="Arial" w:hAnsi="Arial" w:cs="Arial"/>
          <w:b/>
          <w:sz w:val="20"/>
          <w:szCs w:val="20"/>
        </w:rPr>
        <w:t xml:space="preserve"> </w:t>
      </w:r>
      <w:r w:rsidR="00A445E6" w:rsidRPr="00FE4666">
        <w:rPr>
          <w:rFonts w:ascii="Arial" w:hAnsi="Arial" w:cs="Arial"/>
          <w:sz w:val="20"/>
          <w:szCs w:val="20"/>
        </w:rPr>
        <w:t xml:space="preserve">veći je za 11,5% u dijelu </w:t>
      </w:r>
      <w:r w:rsidR="00A445E6" w:rsidRPr="008F47F7">
        <w:rPr>
          <w:rFonts w:ascii="Arial" w:hAnsi="Arial" w:cs="Arial"/>
          <w:b/>
          <w:sz w:val="20"/>
          <w:szCs w:val="20"/>
        </w:rPr>
        <w:t>6526 Ostalih nespomenutih prihoda</w:t>
      </w:r>
      <w:r w:rsidR="00A445E6" w:rsidRPr="00FE4666">
        <w:rPr>
          <w:rFonts w:ascii="Arial" w:hAnsi="Arial" w:cs="Arial"/>
          <w:sz w:val="20"/>
          <w:szCs w:val="20"/>
        </w:rPr>
        <w:t xml:space="preserve"> što se odnosi na prihod od roditeljskog dijela 30% ekonomske cijene za smještaj djece u dječjem vrtiću</w:t>
      </w:r>
      <w:r w:rsidRPr="00FE4666">
        <w:rPr>
          <w:rFonts w:ascii="Arial" w:hAnsi="Arial" w:cs="Arial"/>
          <w:sz w:val="20"/>
          <w:szCs w:val="20"/>
        </w:rPr>
        <w:t xml:space="preserve"> </w:t>
      </w:r>
      <w:r w:rsidR="00A445E6" w:rsidRPr="00FE4666">
        <w:rPr>
          <w:rFonts w:ascii="Arial" w:hAnsi="Arial" w:cs="Arial"/>
          <w:sz w:val="20"/>
          <w:szCs w:val="20"/>
        </w:rPr>
        <w:t>te</w:t>
      </w:r>
      <w:r w:rsidRPr="00FE4666">
        <w:rPr>
          <w:rFonts w:ascii="Arial" w:hAnsi="Arial" w:cs="Arial"/>
          <w:sz w:val="20"/>
          <w:szCs w:val="20"/>
        </w:rPr>
        <w:t xml:space="preserve"> </w:t>
      </w:r>
      <w:r w:rsidR="00E372C0" w:rsidRPr="00FE4666">
        <w:rPr>
          <w:rFonts w:ascii="Arial" w:hAnsi="Arial" w:cs="Arial"/>
          <w:sz w:val="20"/>
          <w:szCs w:val="20"/>
        </w:rPr>
        <w:t xml:space="preserve">prihod iz proračuna Općine Donji Vidovec koji sudjeluje u financiranju dijela ekonomske cijene za </w:t>
      </w:r>
      <w:r w:rsidR="00A445E6" w:rsidRPr="00FE4666">
        <w:rPr>
          <w:rFonts w:ascii="Arial" w:hAnsi="Arial" w:cs="Arial"/>
          <w:sz w:val="20"/>
          <w:szCs w:val="20"/>
        </w:rPr>
        <w:t>d</w:t>
      </w:r>
      <w:r w:rsidR="00E372C0" w:rsidRPr="00FE4666">
        <w:rPr>
          <w:rFonts w:ascii="Arial" w:hAnsi="Arial" w:cs="Arial"/>
          <w:sz w:val="20"/>
          <w:szCs w:val="20"/>
        </w:rPr>
        <w:t>jec</w:t>
      </w:r>
      <w:r w:rsidR="00A445E6" w:rsidRPr="00FE4666">
        <w:rPr>
          <w:rFonts w:ascii="Arial" w:hAnsi="Arial" w:cs="Arial"/>
          <w:sz w:val="20"/>
          <w:szCs w:val="20"/>
        </w:rPr>
        <w:t>u</w:t>
      </w:r>
      <w:r w:rsidR="00E372C0" w:rsidRPr="00FE4666">
        <w:rPr>
          <w:rFonts w:ascii="Arial" w:hAnsi="Arial" w:cs="Arial"/>
          <w:sz w:val="20"/>
          <w:szCs w:val="20"/>
        </w:rPr>
        <w:t xml:space="preserve"> sa njihovog područja</w:t>
      </w:r>
      <w:r w:rsidR="00A445E6" w:rsidRPr="00FE4666">
        <w:rPr>
          <w:rFonts w:ascii="Arial" w:hAnsi="Arial" w:cs="Arial"/>
          <w:sz w:val="20"/>
          <w:szCs w:val="20"/>
        </w:rPr>
        <w:t xml:space="preserve"> (u pedagoškoj godini 2023/2024 bilo je petero djece</w:t>
      </w:r>
      <w:r w:rsidR="00FE4666">
        <w:rPr>
          <w:rFonts w:ascii="Arial" w:hAnsi="Arial" w:cs="Arial"/>
          <w:sz w:val="20"/>
          <w:szCs w:val="20"/>
        </w:rPr>
        <w:t>,</w:t>
      </w:r>
      <w:r w:rsidR="00A445E6" w:rsidRPr="00FE4666">
        <w:rPr>
          <w:rFonts w:ascii="Arial" w:hAnsi="Arial" w:cs="Arial"/>
          <w:sz w:val="20"/>
          <w:szCs w:val="20"/>
        </w:rPr>
        <w:t xml:space="preserve"> </w:t>
      </w:r>
      <w:r w:rsidR="00821AC5" w:rsidRPr="00FE4666">
        <w:rPr>
          <w:rFonts w:ascii="Arial" w:hAnsi="Arial" w:cs="Arial"/>
          <w:sz w:val="20"/>
          <w:szCs w:val="20"/>
        </w:rPr>
        <w:t>a u pedagoškoj godini 2024/2025 upisano je dvoje djece</w:t>
      </w:r>
      <w:r w:rsidR="00FE4666">
        <w:rPr>
          <w:rFonts w:ascii="Arial" w:hAnsi="Arial" w:cs="Arial"/>
          <w:sz w:val="20"/>
          <w:szCs w:val="20"/>
        </w:rPr>
        <w:t xml:space="preserve"> s područja Općine Donji </w:t>
      </w:r>
      <w:proofErr w:type="spellStart"/>
      <w:r w:rsidR="00FE4666">
        <w:rPr>
          <w:rFonts w:ascii="Arial" w:hAnsi="Arial" w:cs="Arial"/>
          <w:sz w:val="20"/>
          <w:szCs w:val="20"/>
        </w:rPr>
        <w:t>Vidovec</w:t>
      </w:r>
      <w:proofErr w:type="spellEnd"/>
      <w:r w:rsidR="00FE4666">
        <w:rPr>
          <w:rFonts w:ascii="Arial" w:hAnsi="Arial" w:cs="Arial"/>
          <w:sz w:val="20"/>
          <w:szCs w:val="20"/>
        </w:rPr>
        <w:t>)</w:t>
      </w:r>
      <w:r w:rsidR="00E372C0" w:rsidRPr="00FE4666">
        <w:rPr>
          <w:rFonts w:ascii="Arial" w:hAnsi="Arial" w:cs="Arial"/>
          <w:sz w:val="20"/>
          <w:szCs w:val="20"/>
        </w:rPr>
        <w:t xml:space="preserve">. </w:t>
      </w:r>
    </w:p>
    <w:p w14:paraId="320C4AA5" w14:textId="61A530AE" w:rsidR="008B1B3D" w:rsidRPr="00B73764" w:rsidRDefault="008B1B3D" w:rsidP="00530D4F">
      <w:pPr>
        <w:pStyle w:val="Bezproreda"/>
        <w:ind w:left="-709"/>
        <w:jc w:val="both"/>
        <w:rPr>
          <w:rFonts w:ascii="Arial" w:hAnsi="Arial" w:cs="Arial"/>
          <w:sz w:val="20"/>
          <w:szCs w:val="20"/>
        </w:rPr>
      </w:pPr>
      <w:r w:rsidRPr="00B73764">
        <w:rPr>
          <w:rFonts w:ascii="Arial" w:hAnsi="Arial" w:cs="Arial"/>
          <w:b/>
          <w:bCs/>
          <w:sz w:val="20"/>
          <w:szCs w:val="20"/>
        </w:rPr>
        <w:t>- Ostali prihodi 683</w:t>
      </w:r>
      <w:r w:rsidR="004149A6" w:rsidRPr="00B73764">
        <w:rPr>
          <w:rFonts w:ascii="Arial" w:hAnsi="Arial" w:cs="Arial"/>
          <w:b/>
          <w:bCs/>
          <w:sz w:val="20"/>
          <w:szCs w:val="20"/>
        </w:rPr>
        <w:t xml:space="preserve"> </w:t>
      </w:r>
      <w:r w:rsidR="004149A6" w:rsidRPr="00B73764">
        <w:rPr>
          <w:rFonts w:ascii="Arial" w:hAnsi="Arial" w:cs="Arial"/>
          <w:bCs/>
          <w:sz w:val="20"/>
          <w:szCs w:val="20"/>
        </w:rPr>
        <w:t>veći su</w:t>
      </w:r>
      <w:r w:rsidRPr="00B73764">
        <w:rPr>
          <w:rFonts w:ascii="Arial" w:hAnsi="Arial" w:cs="Arial"/>
          <w:sz w:val="20"/>
          <w:szCs w:val="20"/>
        </w:rPr>
        <w:t xml:space="preserve"> za </w:t>
      </w:r>
      <w:r w:rsidR="004149A6" w:rsidRPr="00B73764">
        <w:rPr>
          <w:rFonts w:ascii="Arial" w:hAnsi="Arial" w:cs="Arial"/>
          <w:sz w:val="20"/>
          <w:szCs w:val="20"/>
        </w:rPr>
        <w:t>27</w:t>
      </w:r>
      <w:r w:rsidRPr="00B73764">
        <w:rPr>
          <w:rFonts w:ascii="Arial" w:hAnsi="Arial" w:cs="Arial"/>
          <w:sz w:val="20"/>
          <w:szCs w:val="20"/>
        </w:rPr>
        <w:t xml:space="preserve"> % što se odnosi na prikupljanje sredstava za plaćanje police osiguranja djece koja su upisana</w:t>
      </w:r>
      <w:r w:rsidR="004149A6" w:rsidRPr="00B73764">
        <w:rPr>
          <w:rFonts w:ascii="Arial" w:hAnsi="Arial" w:cs="Arial"/>
          <w:sz w:val="20"/>
          <w:szCs w:val="20"/>
        </w:rPr>
        <w:t xml:space="preserve"> u dječji vrtić, prihod od ustupanja prostora vrtića za rano učenje engleskog jezika te donacija od radova djece za božićni sajam</w:t>
      </w:r>
      <w:r w:rsidRPr="00B73764">
        <w:rPr>
          <w:rFonts w:ascii="Arial" w:hAnsi="Arial" w:cs="Arial"/>
          <w:sz w:val="20"/>
          <w:szCs w:val="20"/>
        </w:rPr>
        <w:t>.</w:t>
      </w:r>
    </w:p>
    <w:p w14:paraId="3796398F" w14:textId="77777777" w:rsidR="00D82D84" w:rsidRPr="00FB4A3F" w:rsidRDefault="00D82D84" w:rsidP="00530D4F">
      <w:pPr>
        <w:pStyle w:val="Bezproreda"/>
        <w:ind w:left="-709"/>
        <w:jc w:val="both"/>
        <w:rPr>
          <w:rFonts w:ascii="Arial" w:hAnsi="Arial" w:cs="Arial"/>
          <w:color w:val="FF0000"/>
          <w:sz w:val="20"/>
          <w:szCs w:val="20"/>
        </w:rPr>
      </w:pPr>
    </w:p>
    <w:p w14:paraId="1C9871A9" w14:textId="77777777" w:rsidR="008B1B3D" w:rsidRPr="00FB4A3F" w:rsidRDefault="008B1B3D" w:rsidP="00530D4F">
      <w:pPr>
        <w:pStyle w:val="Bezproreda"/>
        <w:ind w:left="-709"/>
        <w:jc w:val="both"/>
        <w:rPr>
          <w:rFonts w:ascii="Arial" w:hAnsi="Arial" w:cs="Arial"/>
          <w:color w:val="FF0000"/>
          <w:sz w:val="20"/>
          <w:szCs w:val="20"/>
        </w:rPr>
      </w:pPr>
    </w:p>
    <w:p w14:paraId="1F4D3271" w14:textId="79368D5B" w:rsidR="008B1B3D" w:rsidRPr="000B0CD8" w:rsidRDefault="008B1B3D" w:rsidP="00530D4F">
      <w:pPr>
        <w:pStyle w:val="Odlomakpopisa"/>
        <w:ind w:left="-284"/>
        <w:jc w:val="both"/>
        <w:rPr>
          <w:rFonts w:ascii="Arial" w:hAnsi="Arial" w:cs="Arial"/>
          <w:b/>
          <w:sz w:val="20"/>
          <w:szCs w:val="20"/>
          <w:u w:val="single"/>
        </w:rPr>
      </w:pPr>
      <w:r w:rsidRPr="000B0CD8">
        <w:rPr>
          <w:rFonts w:ascii="Arial" w:hAnsi="Arial" w:cs="Arial"/>
          <w:b/>
          <w:sz w:val="20"/>
          <w:szCs w:val="20"/>
          <w:u w:val="single"/>
        </w:rPr>
        <w:t>VEĆA ODSTUPANJA NA RASHODIMA POSLOVANJA S IZVJEŠTAJNIM RAZDOBLJEM PRETHODNE GODINE</w:t>
      </w:r>
    </w:p>
    <w:p w14:paraId="6F94EEEB" w14:textId="2D9CCD9B" w:rsidR="008B1B3D" w:rsidRPr="003035C5" w:rsidRDefault="004C5D5E" w:rsidP="00530D4F">
      <w:pPr>
        <w:pStyle w:val="Bezproreda"/>
        <w:ind w:left="-709"/>
        <w:jc w:val="both"/>
        <w:rPr>
          <w:rFonts w:ascii="Arial" w:hAnsi="Arial" w:cs="Arial"/>
          <w:bCs/>
          <w:sz w:val="20"/>
          <w:szCs w:val="20"/>
        </w:rPr>
      </w:pPr>
      <w:r w:rsidRPr="003035C5">
        <w:rPr>
          <w:rFonts w:ascii="Arial" w:hAnsi="Arial" w:cs="Arial"/>
          <w:bCs/>
          <w:sz w:val="20"/>
          <w:szCs w:val="20"/>
        </w:rPr>
        <w:t xml:space="preserve">Ukupni rashodi poslovanja veći su za </w:t>
      </w:r>
      <w:r w:rsidR="006A05D8" w:rsidRPr="003035C5">
        <w:rPr>
          <w:rFonts w:ascii="Arial" w:hAnsi="Arial" w:cs="Arial"/>
          <w:bCs/>
          <w:sz w:val="20"/>
          <w:szCs w:val="20"/>
        </w:rPr>
        <w:t>27,01</w:t>
      </w:r>
      <w:r w:rsidRPr="003035C5">
        <w:rPr>
          <w:rFonts w:ascii="Arial" w:hAnsi="Arial" w:cs="Arial"/>
          <w:bCs/>
          <w:sz w:val="20"/>
          <w:szCs w:val="20"/>
        </w:rPr>
        <w:t>%</w:t>
      </w:r>
      <w:r w:rsidR="008B1B3D" w:rsidRPr="003035C5">
        <w:rPr>
          <w:rFonts w:ascii="Arial" w:hAnsi="Arial" w:cs="Arial"/>
          <w:b/>
          <w:sz w:val="20"/>
          <w:szCs w:val="20"/>
        </w:rPr>
        <w:t xml:space="preserve"> </w:t>
      </w:r>
      <w:r w:rsidR="00201055" w:rsidRPr="003035C5">
        <w:rPr>
          <w:rFonts w:ascii="Arial" w:hAnsi="Arial" w:cs="Arial"/>
          <w:bCs/>
          <w:sz w:val="20"/>
          <w:szCs w:val="20"/>
        </w:rPr>
        <w:t xml:space="preserve">što obuhvaća povećanje rashoda za zaposlene za </w:t>
      </w:r>
      <w:r w:rsidR="006A05D8" w:rsidRPr="003035C5">
        <w:rPr>
          <w:rFonts w:ascii="Arial" w:hAnsi="Arial" w:cs="Arial"/>
          <w:bCs/>
          <w:sz w:val="20"/>
          <w:szCs w:val="20"/>
        </w:rPr>
        <w:t>31,8</w:t>
      </w:r>
      <w:r w:rsidR="00201055" w:rsidRPr="003035C5">
        <w:rPr>
          <w:rFonts w:ascii="Arial" w:hAnsi="Arial" w:cs="Arial"/>
          <w:bCs/>
          <w:sz w:val="20"/>
          <w:szCs w:val="20"/>
        </w:rPr>
        <w:t>%</w:t>
      </w:r>
      <w:r w:rsidR="006A05D8" w:rsidRPr="003035C5">
        <w:rPr>
          <w:rFonts w:ascii="Arial" w:hAnsi="Arial" w:cs="Arial"/>
          <w:bCs/>
          <w:sz w:val="20"/>
          <w:szCs w:val="20"/>
        </w:rPr>
        <w:t xml:space="preserve"> radi povećanja plaća zaposlenima dva puta tokom godine i povratka dvije djelatnica sa </w:t>
      </w:r>
      <w:proofErr w:type="spellStart"/>
      <w:r w:rsidR="006A05D8" w:rsidRPr="003035C5">
        <w:rPr>
          <w:rFonts w:ascii="Arial" w:hAnsi="Arial" w:cs="Arial"/>
          <w:bCs/>
          <w:sz w:val="20"/>
          <w:szCs w:val="20"/>
        </w:rPr>
        <w:t>rodiljnog</w:t>
      </w:r>
      <w:proofErr w:type="spellEnd"/>
      <w:r w:rsidR="006A05D8" w:rsidRPr="003035C5">
        <w:rPr>
          <w:rFonts w:ascii="Arial" w:hAnsi="Arial" w:cs="Arial"/>
          <w:bCs/>
          <w:sz w:val="20"/>
          <w:szCs w:val="20"/>
        </w:rPr>
        <w:t xml:space="preserve"> dopusta,</w:t>
      </w:r>
      <w:r w:rsidR="00201055" w:rsidRPr="003035C5">
        <w:rPr>
          <w:rFonts w:ascii="Arial" w:hAnsi="Arial" w:cs="Arial"/>
          <w:bCs/>
          <w:sz w:val="20"/>
          <w:szCs w:val="20"/>
        </w:rPr>
        <w:t xml:space="preserve"> a u dijel</w:t>
      </w:r>
      <w:r w:rsidR="00E32144" w:rsidRPr="003035C5">
        <w:rPr>
          <w:rFonts w:ascii="Arial" w:hAnsi="Arial" w:cs="Arial"/>
          <w:bCs/>
          <w:sz w:val="20"/>
          <w:szCs w:val="20"/>
        </w:rPr>
        <w:t>u</w:t>
      </w:r>
      <w:r w:rsidR="00201055" w:rsidRPr="003035C5">
        <w:rPr>
          <w:rFonts w:ascii="Arial" w:hAnsi="Arial" w:cs="Arial"/>
          <w:bCs/>
          <w:sz w:val="20"/>
          <w:szCs w:val="20"/>
        </w:rPr>
        <w:t xml:space="preserve"> </w:t>
      </w:r>
      <w:r w:rsidR="00201055" w:rsidRPr="003035C5">
        <w:rPr>
          <w:rFonts w:ascii="Arial" w:hAnsi="Arial" w:cs="Arial"/>
          <w:b/>
          <w:sz w:val="20"/>
          <w:szCs w:val="20"/>
        </w:rPr>
        <w:t>Ostali rashodi za zaposlene</w:t>
      </w:r>
      <w:r w:rsidR="008B6461" w:rsidRPr="003035C5">
        <w:rPr>
          <w:rFonts w:ascii="Arial" w:hAnsi="Arial" w:cs="Arial"/>
          <w:b/>
          <w:sz w:val="20"/>
          <w:szCs w:val="20"/>
        </w:rPr>
        <w:t xml:space="preserve"> 312</w:t>
      </w:r>
      <w:r w:rsidR="00201055" w:rsidRPr="003035C5">
        <w:rPr>
          <w:rFonts w:ascii="Arial" w:hAnsi="Arial" w:cs="Arial"/>
          <w:bCs/>
          <w:sz w:val="20"/>
          <w:szCs w:val="20"/>
        </w:rPr>
        <w:t xml:space="preserve"> veće je za </w:t>
      </w:r>
      <w:r w:rsidR="006A05D8" w:rsidRPr="003035C5">
        <w:rPr>
          <w:rFonts w:ascii="Arial" w:hAnsi="Arial" w:cs="Arial"/>
          <w:bCs/>
          <w:sz w:val="20"/>
          <w:szCs w:val="20"/>
        </w:rPr>
        <w:t>20,09</w:t>
      </w:r>
      <w:r w:rsidR="00201055" w:rsidRPr="003035C5">
        <w:rPr>
          <w:rFonts w:ascii="Arial" w:hAnsi="Arial" w:cs="Arial"/>
          <w:bCs/>
          <w:sz w:val="20"/>
          <w:szCs w:val="20"/>
        </w:rPr>
        <w:t>% zbog isplate</w:t>
      </w:r>
      <w:r w:rsidR="00E32144" w:rsidRPr="003035C5">
        <w:rPr>
          <w:rFonts w:ascii="Arial" w:hAnsi="Arial" w:cs="Arial"/>
          <w:bCs/>
          <w:sz w:val="20"/>
          <w:szCs w:val="20"/>
        </w:rPr>
        <w:t xml:space="preserve"> otpremnine djelatnici pri odlasku u mirovinu te povećanja neoporezivog dijela naknade za trošak prehrane i naknade u naravi </w:t>
      </w:r>
      <w:r w:rsidR="008B6461" w:rsidRPr="003035C5">
        <w:rPr>
          <w:rFonts w:ascii="Arial" w:hAnsi="Arial" w:cs="Arial"/>
          <w:bCs/>
          <w:sz w:val="20"/>
          <w:szCs w:val="20"/>
        </w:rPr>
        <w:t>(</w:t>
      </w:r>
      <w:proofErr w:type="spellStart"/>
      <w:r w:rsidR="00E32144" w:rsidRPr="003035C5">
        <w:rPr>
          <w:rFonts w:ascii="Arial" w:hAnsi="Arial" w:cs="Arial"/>
          <w:bCs/>
          <w:sz w:val="20"/>
          <w:szCs w:val="20"/>
        </w:rPr>
        <w:t>Uskrs</w:t>
      </w:r>
      <w:r w:rsidR="008B6461" w:rsidRPr="003035C5">
        <w:rPr>
          <w:rFonts w:ascii="Arial" w:hAnsi="Arial" w:cs="Arial"/>
          <w:bCs/>
          <w:sz w:val="20"/>
          <w:szCs w:val="20"/>
        </w:rPr>
        <w:t>nica</w:t>
      </w:r>
      <w:proofErr w:type="spellEnd"/>
      <w:r w:rsidR="008B6461" w:rsidRPr="003035C5">
        <w:rPr>
          <w:rFonts w:ascii="Arial" w:hAnsi="Arial" w:cs="Arial"/>
          <w:bCs/>
          <w:sz w:val="20"/>
          <w:szCs w:val="20"/>
        </w:rPr>
        <w:t>)</w:t>
      </w:r>
      <w:r w:rsidR="00E32144" w:rsidRPr="003035C5">
        <w:rPr>
          <w:rFonts w:ascii="Arial" w:hAnsi="Arial" w:cs="Arial"/>
          <w:bCs/>
          <w:sz w:val="20"/>
          <w:szCs w:val="20"/>
        </w:rPr>
        <w:t>.</w:t>
      </w:r>
    </w:p>
    <w:p w14:paraId="21B632B5" w14:textId="19D9E5DC" w:rsidR="00EF7344" w:rsidRPr="000C771C" w:rsidRDefault="00EF7344" w:rsidP="00530D4F">
      <w:pPr>
        <w:pStyle w:val="Bezproreda"/>
        <w:ind w:left="-709"/>
        <w:jc w:val="both"/>
        <w:rPr>
          <w:rFonts w:ascii="Arial" w:hAnsi="Arial" w:cs="Arial"/>
          <w:sz w:val="20"/>
          <w:szCs w:val="20"/>
        </w:rPr>
      </w:pPr>
      <w:r w:rsidRPr="000C771C">
        <w:rPr>
          <w:rFonts w:ascii="Arial" w:hAnsi="Arial" w:cs="Arial"/>
          <w:b/>
          <w:bCs/>
          <w:sz w:val="20"/>
          <w:szCs w:val="20"/>
        </w:rPr>
        <w:t>Materijalni rashodi 32</w:t>
      </w:r>
      <w:r w:rsidRPr="000C771C">
        <w:rPr>
          <w:rFonts w:ascii="Arial" w:hAnsi="Arial" w:cs="Arial"/>
          <w:sz w:val="20"/>
          <w:szCs w:val="20"/>
        </w:rPr>
        <w:t xml:space="preserve"> </w:t>
      </w:r>
      <w:r w:rsidR="008A1C5E" w:rsidRPr="000C771C">
        <w:rPr>
          <w:rFonts w:ascii="Arial" w:hAnsi="Arial" w:cs="Arial"/>
          <w:sz w:val="20"/>
          <w:szCs w:val="20"/>
        </w:rPr>
        <w:t xml:space="preserve">okvirno su u istom postotku u odnosu na 2023. godinu dok </w:t>
      </w:r>
      <w:r w:rsidRPr="000C771C">
        <w:rPr>
          <w:rFonts w:ascii="Arial" w:hAnsi="Arial" w:cs="Arial"/>
          <w:sz w:val="20"/>
          <w:szCs w:val="20"/>
        </w:rPr>
        <w:t xml:space="preserve">u dijelu </w:t>
      </w:r>
      <w:r w:rsidRPr="000C771C">
        <w:rPr>
          <w:rFonts w:ascii="Arial" w:hAnsi="Arial" w:cs="Arial"/>
          <w:b/>
          <w:sz w:val="20"/>
          <w:szCs w:val="20"/>
        </w:rPr>
        <w:t>Službenih putovanja 3</w:t>
      </w:r>
      <w:r w:rsidRPr="00BA1B58">
        <w:rPr>
          <w:rFonts w:ascii="Arial" w:hAnsi="Arial" w:cs="Arial"/>
          <w:b/>
          <w:sz w:val="20"/>
          <w:szCs w:val="20"/>
        </w:rPr>
        <w:t>211</w:t>
      </w:r>
      <w:r w:rsidRPr="000C771C">
        <w:rPr>
          <w:rFonts w:ascii="Arial" w:hAnsi="Arial" w:cs="Arial"/>
          <w:sz w:val="20"/>
          <w:szCs w:val="20"/>
        </w:rPr>
        <w:t xml:space="preserve"> </w:t>
      </w:r>
      <w:r w:rsidR="000C771C" w:rsidRPr="000C771C">
        <w:rPr>
          <w:rFonts w:ascii="Arial" w:hAnsi="Arial" w:cs="Arial"/>
          <w:sz w:val="20"/>
          <w:szCs w:val="20"/>
        </w:rPr>
        <w:t>znatno je povećanje za 112,7%</w:t>
      </w:r>
      <w:r w:rsidRPr="000C771C">
        <w:rPr>
          <w:rFonts w:ascii="Arial" w:hAnsi="Arial" w:cs="Arial"/>
          <w:sz w:val="20"/>
          <w:szCs w:val="20"/>
        </w:rPr>
        <w:t xml:space="preserve"> zbog troškova putovanja na sanitarne i liječničke preglede zaposlenika.</w:t>
      </w:r>
      <w:r w:rsidR="00DB4E07">
        <w:rPr>
          <w:rFonts w:ascii="Arial" w:hAnsi="Arial" w:cs="Arial"/>
          <w:sz w:val="20"/>
          <w:szCs w:val="20"/>
        </w:rPr>
        <w:t xml:space="preserve"> </w:t>
      </w:r>
      <w:r w:rsidR="00DB4E07" w:rsidRPr="006758F6">
        <w:rPr>
          <w:rFonts w:ascii="Arial" w:hAnsi="Arial" w:cs="Arial"/>
          <w:b/>
          <w:sz w:val="20"/>
          <w:szCs w:val="20"/>
        </w:rPr>
        <w:t>Naknada za prijevoz na posao i s posla</w:t>
      </w:r>
      <w:r w:rsidR="006758F6">
        <w:rPr>
          <w:rFonts w:ascii="Arial" w:hAnsi="Arial" w:cs="Arial"/>
          <w:sz w:val="20"/>
          <w:szCs w:val="20"/>
        </w:rPr>
        <w:t xml:space="preserve"> </w:t>
      </w:r>
      <w:r w:rsidR="006758F6" w:rsidRPr="006758F6">
        <w:rPr>
          <w:rFonts w:ascii="Arial" w:hAnsi="Arial" w:cs="Arial"/>
          <w:b/>
          <w:sz w:val="20"/>
          <w:szCs w:val="20"/>
        </w:rPr>
        <w:t>321</w:t>
      </w:r>
      <w:r w:rsidR="00DB4E07">
        <w:rPr>
          <w:rFonts w:ascii="Arial" w:hAnsi="Arial" w:cs="Arial"/>
          <w:sz w:val="20"/>
          <w:szCs w:val="20"/>
        </w:rPr>
        <w:t xml:space="preserve"> je manja za 27,% jer djelatnica koja putuje koristila je </w:t>
      </w:r>
      <w:proofErr w:type="spellStart"/>
      <w:r w:rsidR="00DB4E07">
        <w:rPr>
          <w:rFonts w:ascii="Arial" w:hAnsi="Arial" w:cs="Arial"/>
          <w:sz w:val="20"/>
          <w:szCs w:val="20"/>
        </w:rPr>
        <w:t>rodiljni</w:t>
      </w:r>
      <w:proofErr w:type="spellEnd"/>
      <w:r w:rsidR="00DB4E07">
        <w:rPr>
          <w:rFonts w:ascii="Arial" w:hAnsi="Arial" w:cs="Arial"/>
          <w:sz w:val="20"/>
          <w:szCs w:val="20"/>
        </w:rPr>
        <w:t xml:space="preserve"> dopust te naknada nije bila korištena.</w:t>
      </w:r>
      <w:r w:rsidR="00D53B31">
        <w:rPr>
          <w:rFonts w:ascii="Arial" w:hAnsi="Arial" w:cs="Arial"/>
          <w:sz w:val="20"/>
          <w:szCs w:val="20"/>
        </w:rPr>
        <w:t xml:space="preserve"> </w:t>
      </w:r>
      <w:r w:rsidR="00D53B31" w:rsidRPr="008D2109">
        <w:rPr>
          <w:rFonts w:ascii="Arial" w:hAnsi="Arial" w:cs="Arial"/>
          <w:b/>
          <w:sz w:val="20"/>
          <w:szCs w:val="20"/>
        </w:rPr>
        <w:t xml:space="preserve">Uredski materijal i ostali materijalni rashodi </w:t>
      </w:r>
      <w:r w:rsidR="008D2109" w:rsidRPr="008D2109">
        <w:rPr>
          <w:rFonts w:ascii="Arial" w:hAnsi="Arial" w:cs="Arial"/>
          <w:b/>
          <w:sz w:val="20"/>
          <w:szCs w:val="20"/>
        </w:rPr>
        <w:t>3221</w:t>
      </w:r>
      <w:r w:rsidR="008D2109">
        <w:rPr>
          <w:rFonts w:ascii="Arial" w:hAnsi="Arial" w:cs="Arial"/>
          <w:sz w:val="20"/>
          <w:szCs w:val="20"/>
        </w:rPr>
        <w:t xml:space="preserve"> </w:t>
      </w:r>
      <w:r w:rsidR="00D53B31">
        <w:rPr>
          <w:rFonts w:ascii="Arial" w:hAnsi="Arial" w:cs="Arial"/>
          <w:sz w:val="20"/>
          <w:szCs w:val="20"/>
        </w:rPr>
        <w:t>manji su za 44,8 %</w:t>
      </w:r>
      <w:r w:rsidR="008D2109">
        <w:rPr>
          <w:rFonts w:ascii="Arial" w:hAnsi="Arial" w:cs="Arial"/>
          <w:sz w:val="20"/>
          <w:szCs w:val="20"/>
        </w:rPr>
        <w:t xml:space="preserve"> zbog manje nabave </w:t>
      </w:r>
      <w:r w:rsidR="008D2109" w:rsidRPr="008D2109">
        <w:rPr>
          <w:rFonts w:ascii="Arial" w:hAnsi="Arial" w:cs="Arial"/>
          <w:b/>
          <w:sz w:val="20"/>
          <w:szCs w:val="20"/>
        </w:rPr>
        <w:t>didaktike</w:t>
      </w:r>
      <w:r w:rsidR="008D2109">
        <w:rPr>
          <w:rFonts w:ascii="Arial" w:hAnsi="Arial" w:cs="Arial"/>
          <w:sz w:val="20"/>
          <w:szCs w:val="20"/>
        </w:rPr>
        <w:t xml:space="preserve"> u odnosu na 2023. godinu. </w:t>
      </w:r>
      <w:r w:rsidR="008D2109" w:rsidRPr="00600D50">
        <w:rPr>
          <w:rFonts w:ascii="Arial" w:hAnsi="Arial" w:cs="Arial"/>
          <w:b/>
          <w:sz w:val="20"/>
          <w:szCs w:val="20"/>
        </w:rPr>
        <w:t>Materijal za tekuće i investicijsko održavanje</w:t>
      </w:r>
      <w:r w:rsidR="00600D50">
        <w:rPr>
          <w:rFonts w:ascii="Arial" w:hAnsi="Arial" w:cs="Arial"/>
          <w:sz w:val="20"/>
          <w:szCs w:val="20"/>
        </w:rPr>
        <w:t xml:space="preserve"> </w:t>
      </w:r>
      <w:r w:rsidR="00600D50" w:rsidRPr="00600D50">
        <w:rPr>
          <w:rFonts w:ascii="Arial" w:hAnsi="Arial" w:cs="Arial"/>
          <w:b/>
          <w:sz w:val="20"/>
          <w:szCs w:val="20"/>
        </w:rPr>
        <w:t>3224</w:t>
      </w:r>
      <w:r w:rsidR="008D2109">
        <w:rPr>
          <w:rFonts w:ascii="Arial" w:hAnsi="Arial" w:cs="Arial"/>
          <w:sz w:val="20"/>
          <w:szCs w:val="20"/>
        </w:rPr>
        <w:t xml:space="preserve"> veće je za 330,4%</w:t>
      </w:r>
      <w:r w:rsidR="00DA6131">
        <w:rPr>
          <w:rFonts w:ascii="Arial" w:hAnsi="Arial" w:cs="Arial"/>
          <w:sz w:val="20"/>
          <w:szCs w:val="20"/>
        </w:rPr>
        <w:t xml:space="preserve"> u financijskom smislu veći trošak je za 177,88 eura</w:t>
      </w:r>
      <w:r w:rsidR="008D2109">
        <w:rPr>
          <w:rFonts w:ascii="Arial" w:hAnsi="Arial" w:cs="Arial"/>
          <w:sz w:val="20"/>
          <w:szCs w:val="20"/>
        </w:rPr>
        <w:t xml:space="preserve"> u odnosu na prošlogodišnje izvještajno razdoblje </w:t>
      </w:r>
      <w:r w:rsidR="00DA6131">
        <w:rPr>
          <w:rFonts w:ascii="Arial" w:hAnsi="Arial" w:cs="Arial"/>
          <w:sz w:val="20"/>
          <w:szCs w:val="20"/>
        </w:rPr>
        <w:t xml:space="preserve">jer je pribavljen hidraulički zatvarač za ulazna vrata. Znatno je veći rashod za </w:t>
      </w:r>
      <w:r w:rsidR="00DA6131" w:rsidRPr="00600D50">
        <w:rPr>
          <w:rFonts w:ascii="Arial" w:hAnsi="Arial" w:cs="Arial"/>
          <w:b/>
          <w:sz w:val="20"/>
          <w:szCs w:val="20"/>
        </w:rPr>
        <w:t>Sitni inventar</w:t>
      </w:r>
      <w:r w:rsidR="00600D50">
        <w:rPr>
          <w:rFonts w:ascii="Arial" w:hAnsi="Arial" w:cs="Arial"/>
          <w:sz w:val="20"/>
          <w:szCs w:val="20"/>
        </w:rPr>
        <w:t xml:space="preserve"> </w:t>
      </w:r>
      <w:r w:rsidR="00600D50" w:rsidRPr="00600D50">
        <w:rPr>
          <w:rFonts w:ascii="Arial" w:hAnsi="Arial" w:cs="Arial"/>
          <w:b/>
          <w:sz w:val="20"/>
          <w:szCs w:val="20"/>
        </w:rPr>
        <w:t>3225</w:t>
      </w:r>
      <w:r w:rsidR="00DA6131">
        <w:rPr>
          <w:rFonts w:ascii="Arial" w:hAnsi="Arial" w:cs="Arial"/>
          <w:sz w:val="20"/>
          <w:szCs w:val="20"/>
        </w:rPr>
        <w:t xml:space="preserve"> radi nabave novih tepi</w:t>
      </w:r>
      <w:r w:rsidR="00BA1B58">
        <w:rPr>
          <w:rFonts w:ascii="Arial" w:hAnsi="Arial" w:cs="Arial"/>
          <w:sz w:val="20"/>
          <w:szCs w:val="20"/>
        </w:rPr>
        <w:t>ha</w:t>
      </w:r>
      <w:r w:rsidR="00DA6131">
        <w:rPr>
          <w:rFonts w:ascii="Arial" w:hAnsi="Arial" w:cs="Arial"/>
          <w:sz w:val="20"/>
          <w:szCs w:val="20"/>
        </w:rPr>
        <w:t xml:space="preserve"> za prostorije vrtića zbog dotrajalosti postojećih, tokom godine dva puta su nabavljane zastave Republike Hrvatske jer zbog jakih vjetrova kakvoća materijala nije izdržala te je upućena reklamacija proizvođaču ali dobiven odgovor je da je garancija 6 mjeseci.</w:t>
      </w:r>
    </w:p>
    <w:p w14:paraId="14FA5F2E" w14:textId="45A7E82B" w:rsidR="008B1B3D" w:rsidRDefault="008B1B3D" w:rsidP="00530D4F">
      <w:pPr>
        <w:pStyle w:val="Bezproreda"/>
        <w:ind w:left="-709"/>
        <w:jc w:val="both"/>
        <w:rPr>
          <w:rFonts w:ascii="Arial" w:hAnsi="Arial" w:cs="Arial"/>
          <w:sz w:val="20"/>
          <w:szCs w:val="20"/>
        </w:rPr>
      </w:pPr>
      <w:r w:rsidRPr="00BA1B58">
        <w:rPr>
          <w:rFonts w:ascii="Arial" w:hAnsi="Arial" w:cs="Arial"/>
          <w:b/>
          <w:bCs/>
          <w:sz w:val="20"/>
          <w:szCs w:val="20"/>
        </w:rPr>
        <w:t>- Rashodi za usluge</w:t>
      </w:r>
      <w:r w:rsidR="000D77AE" w:rsidRPr="00BA1B58">
        <w:rPr>
          <w:rFonts w:ascii="Arial" w:hAnsi="Arial" w:cs="Arial"/>
          <w:b/>
          <w:bCs/>
          <w:sz w:val="20"/>
          <w:szCs w:val="20"/>
        </w:rPr>
        <w:t xml:space="preserve"> </w:t>
      </w:r>
      <w:r w:rsidRPr="00BA1B58">
        <w:rPr>
          <w:rFonts w:ascii="Arial" w:hAnsi="Arial" w:cs="Arial"/>
          <w:b/>
          <w:bCs/>
          <w:sz w:val="20"/>
          <w:szCs w:val="20"/>
        </w:rPr>
        <w:t>323</w:t>
      </w:r>
      <w:r w:rsidR="00BF5535" w:rsidRPr="00BA1B58">
        <w:rPr>
          <w:rFonts w:ascii="Arial" w:hAnsi="Arial" w:cs="Arial"/>
          <w:b/>
          <w:bCs/>
          <w:sz w:val="20"/>
          <w:szCs w:val="20"/>
        </w:rPr>
        <w:t xml:space="preserve"> </w:t>
      </w:r>
      <w:r w:rsidR="00EC4341" w:rsidRPr="00BA1B58">
        <w:rPr>
          <w:rFonts w:ascii="Arial" w:hAnsi="Arial" w:cs="Arial"/>
          <w:bCs/>
          <w:sz w:val="20"/>
          <w:szCs w:val="20"/>
        </w:rPr>
        <w:t xml:space="preserve">veći su za </w:t>
      </w:r>
      <w:r w:rsidR="00BF5535" w:rsidRPr="00BA1B58">
        <w:rPr>
          <w:rFonts w:ascii="Arial" w:hAnsi="Arial" w:cs="Arial"/>
          <w:bCs/>
          <w:sz w:val="20"/>
          <w:szCs w:val="20"/>
        </w:rPr>
        <w:t>95,4</w:t>
      </w:r>
      <w:r w:rsidR="00EC4341" w:rsidRPr="00BA1B58">
        <w:rPr>
          <w:rFonts w:ascii="Arial" w:hAnsi="Arial" w:cs="Arial"/>
          <w:bCs/>
          <w:sz w:val="20"/>
          <w:szCs w:val="20"/>
        </w:rPr>
        <w:t>%</w:t>
      </w:r>
      <w:r w:rsidRPr="00BA1B58">
        <w:rPr>
          <w:rFonts w:ascii="Arial" w:hAnsi="Arial" w:cs="Arial"/>
          <w:sz w:val="20"/>
          <w:szCs w:val="20"/>
        </w:rPr>
        <w:t xml:space="preserve"> u odnosu na 202</w:t>
      </w:r>
      <w:r w:rsidR="00EC4341" w:rsidRPr="00BA1B58">
        <w:rPr>
          <w:rFonts w:ascii="Arial" w:hAnsi="Arial" w:cs="Arial"/>
          <w:sz w:val="20"/>
          <w:szCs w:val="20"/>
        </w:rPr>
        <w:t>3</w:t>
      </w:r>
      <w:r w:rsidRPr="00BA1B58">
        <w:rPr>
          <w:rFonts w:ascii="Arial" w:hAnsi="Arial" w:cs="Arial"/>
          <w:sz w:val="20"/>
          <w:szCs w:val="20"/>
        </w:rPr>
        <w:t xml:space="preserve">. godinu </w:t>
      </w:r>
      <w:r w:rsidR="00EC4341" w:rsidRPr="00BA1B58">
        <w:rPr>
          <w:rFonts w:ascii="Arial" w:hAnsi="Arial" w:cs="Arial"/>
          <w:sz w:val="20"/>
          <w:szCs w:val="20"/>
        </w:rPr>
        <w:t>zbog povećanja</w:t>
      </w:r>
      <w:r w:rsidR="00BF5535" w:rsidRPr="00BA1B58">
        <w:rPr>
          <w:rFonts w:ascii="Arial" w:hAnsi="Arial" w:cs="Arial"/>
          <w:sz w:val="20"/>
          <w:szCs w:val="20"/>
        </w:rPr>
        <w:t xml:space="preserve"> </w:t>
      </w:r>
      <w:r w:rsidR="00BF5535" w:rsidRPr="00BA1B58">
        <w:rPr>
          <w:rFonts w:ascii="Arial" w:hAnsi="Arial" w:cs="Arial"/>
          <w:b/>
          <w:sz w:val="20"/>
          <w:szCs w:val="20"/>
        </w:rPr>
        <w:t>troškova pošte, telefona i prijevoza</w:t>
      </w:r>
      <w:r w:rsidR="00BF5535" w:rsidRPr="00BA1B58">
        <w:rPr>
          <w:rFonts w:ascii="Arial" w:hAnsi="Arial" w:cs="Arial"/>
          <w:sz w:val="20"/>
          <w:szCs w:val="20"/>
        </w:rPr>
        <w:t xml:space="preserve"> </w:t>
      </w:r>
      <w:r w:rsidR="00BF5535" w:rsidRPr="00BA1B58">
        <w:rPr>
          <w:rFonts w:ascii="Arial" w:hAnsi="Arial" w:cs="Arial"/>
          <w:b/>
          <w:sz w:val="20"/>
          <w:szCs w:val="20"/>
        </w:rPr>
        <w:t>3231</w:t>
      </w:r>
      <w:r w:rsidR="00BF5535" w:rsidRPr="00BA1B58">
        <w:rPr>
          <w:rFonts w:ascii="Arial" w:hAnsi="Arial" w:cs="Arial"/>
          <w:sz w:val="20"/>
          <w:szCs w:val="20"/>
        </w:rPr>
        <w:t xml:space="preserve"> za 20,8%, a povećanje u tom dijelu se odnosi na veći trošak usluge dostave naručene robe (sitnog inventara i didaktike)</w:t>
      </w:r>
      <w:r w:rsidR="003A0F97" w:rsidRPr="00BA1B58">
        <w:rPr>
          <w:rFonts w:ascii="Arial" w:hAnsi="Arial" w:cs="Arial"/>
          <w:sz w:val="20"/>
          <w:szCs w:val="20"/>
        </w:rPr>
        <w:t xml:space="preserve">. </w:t>
      </w:r>
      <w:r w:rsidR="003A0F97" w:rsidRPr="00BA1B58">
        <w:rPr>
          <w:rFonts w:ascii="Arial" w:hAnsi="Arial" w:cs="Arial"/>
          <w:b/>
          <w:sz w:val="20"/>
          <w:szCs w:val="20"/>
        </w:rPr>
        <w:t xml:space="preserve">Usluge tekućeg investicijskog </w:t>
      </w:r>
      <w:r w:rsidR="000F7740" w:rsidRPr="00BA1B58">
        <w:rPr>
          <w:rFonts w:ascii="Arial" w:hAnsi="Arial" w:cs="Arial"/>
          <w:b/>
          <w:sz w:val="20"/>
          <w:szCs w:val="20"/>
        </w:rPr>
        <w:t>održavanja 3232</w:t>
      </w:r>
      <w:r w:rsidR="000F7740" w:rsidRPr="00BA1B58">
        <w:rPr>
          <w:rFonts w:ascii="Arial" w:hAnsi="Arial" w:cs="Arial"/>
          <w:sz w:val="20"/>
          <w:szCs w:val="20"/>
        </w:rPr>
        <w:t xml:space="preserve"> veći je za 187,1% jer su se obavljali soboslikarski radovi u prostorijama vrtića, </w:t>
      </w:r>
      <w:r w:rsidR="00EC4341" w:rsidRPr="00BA1B58">
        <w:rPr>
          <w:rFonts w:ascii="Arial" w:hAnsi="Arial" w:cs="Arial"/>
          <w:b/>
          <w:bCs/>
          <w:sz w:val="20"/>
          <w:szCs w:val="20"/>
        </w:rPr>
        <w:t>Zdravstve</w:t>
      </w:r>
      <w:r w:rsidR="000F7740" w:rsidRPr="00BA1B58">
        <w:rPr>
          <w:rFonts w:ascii="Arial" w:hAnsi="Arial" w:cs="Arial"/>
          <w:b/>
          <w:bCs/>
          <w:sz w:val="20"/>
          <w:szCs w:val="20"/>
        </w:rPr>
        <w:t>ne</w:t>
      </w:r>
      <w:r w:rsidR="00EC4341" w:rsidRPr="00BA1B58">
        <w:rPr>
          <w:rFonts w:ascii="Arial" w:hAnsi="Arial" w:cs="Arial"/>
          <w:b/>
          <w:bCs/>
          <w:sz w:val="20"/>
          <w:szCs w:val="20"/>
        </w:rPr>
        <w:t xml:space="preserve"> i veterinars</w:t>
      </w:r>
      <w:r w:rsidR="000F7740" w:rsidRPr="00BA1B58">
        <w:rPr>
          <w:rFonts w:ascii="Arial" w:hAnsi="Arial" w:cs="Arial"/>
          <w:b/>
          <w:bCs/>
          <w:sz w:val="20"/>
          <w:szCs w:val="20"/>
        </w:rPr>
        <w:t>ke</w:t>
      </w:r>
      <w:r w:rsidR="00EC4341" w:rsidRPr="00BA1B58">
        <w:rPr>
          <w:rFonts w:ascii="Arial" w:hAnsi="Arial" w:cs="Arial"/>
          <w:b/>
          <w:bCs/>
          <w:sz w:val="20"/>
          <w:szCs w:val="20"/>
        </w:rPr>
        <w:t xml:space="preserve"> usluga 3236</w:t>
      </w:r>
      <w:r w:rsidR="00EC4341" w:rsidRPr="00BA1B58">
        <w:rPr>
          <w:rFonts w:ascii="Arial" w:hAnsi="Arial" w:cs="Arial"/>
          <w:sz w:val="20"/>
          <w:szCs w:val="20"/>
        </w:rPr>
        <w:t xml:space="preserve"> </w:t>
      </w:r>
      <w:r w:rsidR="000F7740" w:rsidRPr="00BA1B58">
        <w:rPr>
          <w:rFonts w:ascii="Arial" w:hAnsi="Arial" w:cs="Arial"/>
          <w:sz w:val="20"/>
          <w:szCs w:val="20"/>
        </w:rPr>
        <w:t xml:space="preserve">veće su </w:t>
      </w:r>
      <w:r w:rsidR="00EC4341" w:rsidRPr="00BA1B58">
        <w:rPr>
          <w:rFonts w:ascii="Arial" w:hAnsi="Arial" w:cs="Arial"/>
          <w:sz w:val="20"/>
          <w:szCs w:val="20"/>
        </w:rPr>
        <w:t xml:space="preserve">za </w:t>
      </w:r>
      <w:r w:rsidR="000F7740" w:rsidRPr="00BA1B58">
        <w:rPr>
          <w:rFonts w:ascii="Arial" w:hAnsi="Arial" w:cs="Arial"/>
          <w:sz w:val="20"/>
          <w:szCs w:val="20"/>
        </w:rPr>
        <w:t>37,4</w:t>
      </w:r>
      <w:r w:rsidR="00EC4341" w:rsidRPr="00BA1B58">
        <w:rPr>
          <w:rFonts w:ascii="Arial" w:hAnsi="Arial" w:cs="Arial"/>
          <w:sz w:val="20"/>
          <w:szCs w:val="20"/>
        </w:rPr>
        <w:t>%</w:t>
      </w:r>
      <w:r w:rsidR="000D77AE" w:rsidRPr="00BA1B58">
        <w:rPr>
          <w:rFonts w:ascii="Arial" w:hAnsi="Arial" w:cs="Arial"/>
          <w:sz w:val="20"/>
          <w:szCs w:val="20"/>
        </w:rPr>
        <w:t xml:space="preserve"> zbog obavljanja liječničkih i sanitarnih pregleda zaposlenika</w:t>
      </w:r>
      <w:r w:rsidR="00745F3B">
        <w:rPr>
          <w:rFonts w:ascii="Arial" w:hAnsi="Arial" w:cs="Arial"/>
          <w:sz w:val="20"/>
          <w:szCs w:val="20"/>
        </w:rPr>
        <w:t>.</w:t>
      </w:r>
      <w:r w:rsidR="00E10981">
        <w:rPr>
          <w:rFonts w:ascii="Arial" w:hAnsi="Arial" w:cs="Arial"/>
          <w:sz w:val="20"/>
          <w:szCs w:val="20"/>
        </w:rPr>
        <w:t xml:space="preserve"> </w:t>
      </w:r>
      <w:r w:rsidR="00745F3B">
        <w:rPr>
          <w:rFonts w:ascii="Arial" w:hAnsi="Arial" w:cs="Arial"/>
          <w:sz w:val="20"/>
          <w:szCs w:val="20"/>
        </w:rPr>
        <w:t>Intelektualne i osobne usluge veće su z 13,5% a odnose se na korištenje usluga student servisa dok su zaposlenici koristili godišn</w:t>
      </w:r>
      <w:r w:rsidR="00E10981">
        <w:rPr>
          <w:rFonts w:ascii="Arial" w:hAnsi="Arial" w:cs="Arial"/>
          <w:sz w:val="20"/>
          <w:szCs w:val="20"/>
        </w:rPr>
        <w:t>j</w:t>
      </w:r>
      <w:r w:rsidR="00745F3B">
        <w:rPr>
          <w:rFonts w:ascii="Arial" w:hAnsi="Arial" w:cs="Arial"/>
          <w:sz w:val="20"/>
          <w:szCs w:val="20"/>
        </w:rPr>
        <w:t>e odmore</w:t>
      </w:r>
      <w:r w:rsidR="00E10981">
        <w:rPr>
          <w:rFonts w:ascii="Arial" w:hAnsi="Arial" w:cs="Arial"/>
          <w:sz w:val="20"/>
          <w:szCs w:val="20"/>
        </w:rPr>
        <w:t>.</w:t>
      </w:r>
      <w:r w:rsidR="00EC4341" w:rsidRPr="00BA1B58">
        <w:rPr>
          <w:rFonts w:ascii="Arial" w:hAnsi="Arial" w:cs="Arial"/>
          <w:b/>
          <w:bCs/>
          <w:sz w:val="20"/>
          <w:szCs w:val="20"/>
        </w:rPr>
        <w:t xml:space="preserve"> Računaln</w:t>
      </w:r>
      <w:r w:rsidR="00213BC0">
        <w:rPr>
          <w:rFonts w:ascii="Arial" w:hAnsi="Arial" w:cs="Arial"/>
          <w:b/>
          <w:bCs/>
          <w:sz w:val="20"/>
          <w:szCs w:val="20"/>
        </w:rPr>
        <w:t>e</w:t>
      </w:r>
      <w:r w:rsidR="00EC4341" w:rsidRPr="00BA1B58">
        <w:rPr>
          <w:rFonts w:ascii="Arial" w:hAnsi="Arial" w:cs="Arial"/>
          <w:b/>
          <w:bCs/>
          <w:sz w:val="20"/>
          <w:szCs w:val="20"/>
        </w:rPr>
        <w:t xml:space="preserve"> uslug</w:t>
      </w:r>
      <w:r w:rsidR="00213BC0">
        <w:rPr>
          <w:rFonts w:ascii="Arial" w:hAnsi="Arial" w:cs="Arial"/>
          <w:b/>
          <w:bCs/>
          <w:sz w:val="20"/>
          <w:szCs w:val="20"/>
        </w:rPr>
        <w:t>e</w:t>
      </w:r>
      <w:r w:rsidR="00EC4341" w:rsidRPr="00BA1B58">
        <w:rPr>
          <w:rFonts w:ascii="Arial" w:hAnsi="Arial" w:cs="Arial"/>
          <w:b/>
          <w:bCs/>
          <w:sz w:val="20"/>
          <w:szCs w:val="20"/>
        </w:rPr>
        <w:t xml:space="preserve"> 3238</w:t>
      </w:r>
      <w:r w:rsidR="00EC4341" w:rsidRPr="00BA1B58">
        <w:rPr>
          <w:rFonts w:ascii="Arial" w:hAnsi="Arial" w:cs="Arial"/>
          <w:sz w:val="20"/>
          <w:szCs w:val="20"/>
        </w:rPr>
        <w:t xml:space="preserve"> </w:t>
      </w:r>
      <w:r w:rsidR="000F7740" w:rsidRPr="00BA1B58">
        <w:rPr>
          <w:rFonts w:ascii="Arial" w:hAnsi="Arial" w:cs="Arial"/>
          <w:sz w:val="20"/>
          <w:szCs w:val="20"/>
        </w:rPr>
        <w:t xml:space="preserve">veće </w:t>
      </w:r>
      <w:r w:rsidR="00213BC0">
        <w:rPr>
          <w:rFonts w:ascii="Arial" w:hAnsi="Arial" w:cs="Arial"/>
          <w:sz w:val="20"/>
          <w:szCs w:val="20"/>
        </w:rPr>
        <w:t xml:space="preserve">su </w:t>
      </w:r>
      <w:r w:rsidR="00EC4341" w:rsidRPr="00BA1B58">
        <w:rPr>
          <w:rFonts w:ascii="Arial" w:hAnsi="Arial" w:cs="Arial"/>
          <w:sz w:val="20"/>
          <w:szCs w:val="20"/>
        </w:rPr>
        <w:t xml:space="preserve">za </w:t>
      </w:r>
      <w:r w:rsidR="000F7740" w:rsidRPr="00BA1B58">
        <w:rPr>
          <w:rFonts w:ascii="Arial" w:hAnsi="Arial" w:cs="Arial"/>
          <w:sz w:val="20"/>
          <w:szCs w:val="20"/>
        </w:rPr>
        <w:t>518,9</w:t>
      </w:r>
      <w:r w:rsidR="00EC4341" w:rsidRPr="00BA1B58">
        <w:rPr>
          <w:rFonts w:ascii="Arial" w:hAnsi="Arial" w:cs="Arial"/>
          <w:sz w:val="20"/>
          <w:szCs w:val="20"/>
        </w:rPr>
        <w:t>% radi izrade nove web stranice.</w:t>
      </w:r>
    </w:p>
    <w:p w14:paraId="5582848C" w14:textId="0B23E147" w:rsidR="008C7DFC" w:rsidRDefault="008C7DFC" w:rsidP="00530D4F">
      <w:pPr>
        <w:pStyle w:val="Bezproreda"/>
        <w:ind w:left="-709"/>
        <w:jc w:val="both"/>
        <w:rPr>
          <w:rFonts w:ascii="Arial" w:hAnsi="Arial" w:cs="Arial"/>
          <w:sz w:val="20"/>
          <w:szCs w:val="20"/>
        </w:rPr>
      </w:pPr>
    </w:p>
    <w:p w14:paraId="7A862247" w14:textId="06DDF48F" w:rsidR="008C7DFC" w:rsidRDefault="008C7DFC" w:rsidP="00530D4F">
      <w:pPr>
        <w:pStyle w:val="Bezproreda"/>
        <w:ind w:left="-709"/>
        <w:jc w:val="both"/>
        <w:rPr>
          <w:rFonts w:ascii="Arial" w:hAnsi="Arial" w:cs="Arial"/>
          <w:sz w:val="20"/>
          <w:szCs w:val="20"/>
        </w:rPr>
      </w:pPr>
    </w:p>
    <w:p w14:paraId="0BFBC1AF" w14:textId="77777777" w:rsidR="008C7DFC" w:rsidRPr="00BA1B58" w:rsidRDefault="008C7DFC" w:rsidP="00530D4F">
      <w:pPr>
        <w:pStyle w:val="Bezproreda"/>
        <w:ind w:left="-709"/>
        <w:jc w:val="both"/>
        <w:rPr>
          <w:rFonts w:ascii="Arial" w:hAnsi="Arial" w:cs="Arial"/>
          <w:sz w:val="20"/>
          <w:szCs w:val="20"/>
        </w:rPr>
      </w:pPr>
    </w:p>
    <w:p w14:paraId="64222A2C" w14:textId="38882F81" w:rsidR="008B1B3D" w:rsidRPr="00E062A2" w:rsidRDefault="008B1B3D" w:rsidP="00530D4F">
      <w:pPr>
        <w:pStyle w:val="Bezproreda"/>
        <w:ind w:left="-709"/>
        <w:jc w:val="both"/>
        <w:rPr>
          <w:rFonts w:ascii="Arial" w:hAnsi="Arial" w:cs="Arial"/>
          <w:sz w:val="20"/>
          <w:szCs w:val="20"/>
        </w:rPr>
      </w:pPr>
      <w:r w:rsidRPr="00367A1B">
        <w:rPr>
          <w:rFonts w:ascii="Arial" w:hAnsi="Arial" w:cs="Arial"/>
          <w:b/>
          <w:sz w:val="20"/>
          <w:szCs w:val="20"/>
        </w:rPr>
        <w:lastRenderedPageBreak/>
        <w:t>- Ostali nespomenuti rashodi poslovanja 329</w:t>
      </w:r>
      <w:r w:rsidRPr="00367A1B">
        <w:rPr>
          <w:rFonts w:ascii="Arial" w:hAnsi="Arial" w:cs="Arial"/>
          <w:sz w:val="20"/>
          <w:szCs w:val="20"/>
        </w:rPr>
        <w:t xml:space="preserve"> u odnosu na prošlogodišnje izvještajno razdoblje</w:t>
      </w:r>
      <w:r w:rsidR="004C4BC9" w:rsidRPr="00367A1B">
        <w:rPr>
          <w:rFonts w:ascii="Arial" w:hAnsi="Arial" w:cs="Arial"/>
          <w:sz w:val="20"/>
          <w:szCs w:val="20"/>
        </w:rPr>
        <w:t xml:space="preserve"> ukupno su</w:t>
      </w:r>
      <w:r w:rsidRPr="00367A1B">
        <w:rPr>
          <w:rFonts w:ascii="Arial" w:hAnsi="Arial" w:cs="Arial"/>
          <w:sz w:val="20"/>
          <w:szCs w:val="20"/>
        </w:rPr>
        <w:t xml:space="preserve"> </w:t>
      </w:r>
      <w:r w:rsidR="00654E0D" w:rsidRPr="00367A1B">
        <w:rPr>
          <w:rFonts w:ascii="Arial" w:hAnsi="Arial" w:cs="Arial"/>
          <w:sz w:val="20"/>
          <w:szCs w:val="20"/>
        </w:rPr>
        <w:t>manji</w:t>
      </w:r>
      <w:r w:rsidRPr="00367A1B">
        <w:rPr>
          <w:rFonts w:ascii="Arial" w:hAnsi="Arial" w:cs="Arial"/>
          <w:sz w:val="20"/>
          <w:szCs w:val="20"/>
        </w:rPr>
        <w:t xml:space="preserve"> za </w:t>
      </w:r>
      <w:r w:rsidR="00654E0D" w:rsidRPr="00367A1B">
        <w:rPr>
          <w:rFonts w:ascii="Arial" w:hAnsi="Arial" w:cs="Arial"/>
          <w:sz w:val="20"/>
          <w:szCs w:val="20"/>
        </w:rPr>
        <w:t>35,7</w:t>
      </w:r>
      <w:r w:rsidRPr="00367A1B">
        <w:rPr>
          <w:rFonts w:ascii="Arial" w:hAnsi="Arial" w:cs="Arial"/>
          <w:sz w:val="20"/>
          <w:szCs w:val="20"/>
        </w:rPr>
        <w:t>%</w:t>
      </w:r>
      <w:r w:rsidR="004C4BC9" w:rsidRPr="00367A1B">
        <w:rPr>
          <w:rFonts w:ascii="Arial" w:hAnsi="Arial" w:cs="Arial"/>
          <w:sz w:val="20"/>
          <w:szCs w:val="20"/>
        </w:rPr>
        <w:t xml:space="preserve">, dok je rashod za </w:t>
      </w:r>
      <w:r w:rsidR="004C4BC9" w:rsidRPr="00367A1B">
        <w:rPr>
          <w:rFonts w:ascii="Arial" w:hAnsi="Arial" w:cs="Arial"/>
          <w:b/>
          <w:sz w:val="20"/>
          <w:szCs w:val="20"/>
        </w:rPr>
        <w:t>premije osiguranja 3292</w:t>
      </w:r>
      <w:r w:rsidR="004C4BC9" w:rsidRPr="00367A1B">
        <w:rPr>
          <w:rFonts w:ascii="Arial" w:hAnsi="Arial" w:cs="Arial"/>
          <w:sz w:val="20"/>
          <w:szCs w:val="20"/>
        </w:rPr>
        <w:t xml:space="preserve"> veći za 11,9% </w:t>
      </w:r>
      <w:r w:rsidR="00367A1B" w:rsidRPr="00367A1B">
        <w:rPr>
          <w:rFonts w:ascii="Arial" w:hAnsi="Arial" w:cs="Arial"/>
          <w:sz w:val="20"/>
          <w:szCs w:val="20"/>
        </w:rPr>
        <w:t>(</w:t>
      </w:r>
      <w:r w:rsidR="004C4BC9" w:rsidRPr="00367A1B">
        <w:rPr>
          <w:rFonts w:ascii="Arial" w:hAnsi="Arial" w:cs="Arial"/>
          <w:sz w:val="20"/>
          <w:szCs w:val="20"/>
        </w:rPr>
        <w:t xml:space="preserve">financijski </w:t>
      </w:r>
      <w:r w:rsidR="00367A1B" w:rsidRPr="00367A1B">
        <w:rPr>
          <w:rFonts w:ascii="Arial" w:hAnsi="Arial" w:cs="Arial"/>
          <w:sz w:val="20"/>
          <w:szCs w:val="20"/>
        </w:rPr>
        <w:t>77,14 eura) za premije osiguranja od nezgode zbog većeg broja djece polaznika vrtića</w:t>
      </w:r>
      <w:r w:rsidR="00367A1B" w:rsidRPr="00E062A2">
        <w:rPr>
          <w:rFonts w:ascii="Arial" w:hAnsi="Arial" w:cs="Arial"/>
          <w:sz w:val="20"/>
          <w:szCs w:val="20"/>
        </w:rPr>
        <w:t>.</w:t>
      </w:r>
      <w:r w:rsidR="00F92320" w:rsidRPr="00E062A2">
        <w:rPr>
          <w:rFonts w:ascii="Arial" w:hAnsi="Arial" w:cs="Arial"/>
          <w:sz w:val="20"/>
          <w:szCs w:val="20"/>
        </w:rPr>
        <w:t xml:space="preserve"> </w:t>
      </w:r>
      <w:r w:rsidR="00367A1B" w:rsidRPr="00E062A2">
        <w:rPr>
          <w:rFonts w:ascii="Arial" w:hAnsi="Arial" w:cs="Arial"/>
          <w:sz w:val="20"/>
          <w:szCs w:val="20"/>
        </w:rPr>
        <w:t xml:space="preserve">Ove godine u dijelu </w:t>
      </w:r>
      <w:r w:rsidR="00367A1B" w:rsidRPr="00E062A2">
        <w:rPr>
          <w:rFonts w:ascii="Arial" w:hAnsi="Arial" w:cs="Arial"/>
          <w:b/>
          <w:sz w:val="20"/>
          <w:szCs w:val="20"/>
        </w:rPr>
        <w:t>reprezentacije 3293</w:t>
      </w:r>
      <w:r w:rsidR="00367A1B" w:rsidRPr="00E062A2">
        <w:rPr>
          <w:rFonts w:ascii="Arial" w:hAnsi="Arial" w:cs="Arial"/>
          <w:sz w:val="20"/>
          <w:szCs w:val="20"/>
        </w:rPr>
        <w:t xml:space="preserve"> nastao je trošak za kupnju vode</w:t>
      </w:r>
      <w:r w:rsidR="00E062A2" w:rsidRPr="00E062A2">
        <w:rPr>
          <w:rFonts w:ascii="Arial" w:hAnsi="Arial" w:cs="Arial"/>
          <w:sz w:val="20"/>
          <w:szCs w:val="20"/>
        </w:rPr>
        <w:t xml:space="preserve"> dok se protekle godine ta stavka nije koristila, te je manji rashod za </w:t>
      </w:r>
      <w:r w:rsidR="00E062A2" w:rsidRPr="00E062A2">
        <w:rPr>
          <w:rFonts w:ascii="Arial" w:hAnsi="Arial" w:cs="Arial"/>
          <w:b/>
          <w:sz w:val="20"/>
          <w:szCs w:val="20"/>
        </w:rPr>
        <w:t>ostale nespomenute rashode 3299</w:t>
      </w:r>
      <w:r w:rsidR="00E062A2" w:rsidRPr="00E062A2">
        <w:rPr>
          <w:rFonts w:ascii="Arial" w:hAnsi="Arial" w:cs="Arial"/>
          <w:sz w:val="20"/>
          <w:szCs w:val="20"/>
        </w:rPr>
        <w:t xml:space="preserve"> za 48,8%</w:t>
      </w:r>
      <w:r w:rsidR="00E062A2">
        <w:rPr>
          <w:rFonts w:ascii="Arial" w:hAnsi="Arial" w:cs="Arial"/>
          <w:sz w:val="20"/>
          <w:szCs w:val="20"/>
        </w:rPr>
        <w:t xml:space="preserve"> a sredstva su se koristila na nabavu</w:t>
      </w:r>
      <w:r w:rsidR="00B63E32" w:rsidRPr="00FB4A3F">
        <w:rPr>
          <w:rFonts w:ascii="Arial" w:hAnsi="Arial" w:cs="Arial"/>
          <w:color w:val="FF0000"/>
          <w:sz w:val="20"/>
          <w:szCs w:val="20"/>
        </w:rPr>
        <w:t xml:space="preserve"> </w:t>
      </w:r>
      <w:r w:rsidR="00B63E32" w:rsidRPr="00E062A2">
        <w:rPr>
          <w:rFonts w:ascii="Arial" w:hAnsi="Arial" w:cs="Arial"/>
          <w:sz w:val="20"/>
          <w:szCs w:val="20"/>
        </w:rPr>
        <w:t xml:space="preserve">majci za djecu i odgajateljice </w:t>
      </w:r>
      <w:r w:rsidR="003B0B20" w:rsidRPr="00E062A2">
        <w:rPr>
          <w:rFonts w:ascii="Arial" w:hAnsi="Arial" w:cs="Arial"/>
          <w:sz w:val="20"/>
          <w:szCs w:val="20"/>
        </w:rPr>
        <w:t>(Olimpijske igre), trošak ispitivanja sustava dojave požara, deratizaciju i sl</w:t>
      </w:r>
      <w:r w:rsidR="005C29CF" w:rsidRPr="00E062A2">
        <w:rPr>
          <w:rFonts w:ascii="Arial" w:hAnsi="Arial" w:cs="Arial"/>
          <w:sz w:val="20"/>
          <w:szCs w:val="20"/>
        </w:rPr>
        <w:t>.</w:t>
      </w:r>
    </w:p>
    <w:p w14:paraId="0DB8B83F" w14:textId="0A979BA9" w:rsidR="008B1B3D" w:rsidRPr="00352411" w:rsidRDefault="008B1B3D" w:rsidP="00530D4F">
      <w:pPr>
        <w:pStyle w:val="Bezproreda"/>
        <w:ind w:left="-709"/>
        <w:jc w:val="both"/>
        <w:rPr>
          <w:rFonts w:ascii="Arial" w:hAnsi="Arial" w:cs="Arial"/>
          <w:sz w:val="20"/>
          <w:szCs w:val="20"/>
        </w:rPr>
      </w:pPr>
      <w:r w:rsidRPr="00352411">
        <w:rPr>
          <w:rFonts w:ascii="Arial" w:hAnsi="Arial" w:cs="Arial"/>
          <w:b/>
          <w:sz w:val="20"/>
          <w:szCs w:val="20"/>
        </w:rPr>
        <w:t>- Ostali financijski rashodi</w:t>
      </w:r>
      <w:r w:rsidR="00D8517B">
        <w:rPr>
          <w:rFonts w:ascii="Arial" w:hAnsi="Arial" w:cs="Arial"/>
          <w:b/>
          <w:sz w:val="20"/>
          <w:szCs w:val="20"/>
        </w:rPr>
        <w:t xml:space="preserve"> </w:t>
      </w:r>
      <w:r w:rsidRPr="00352411">
        <w:rPr>
          <w:rFonts w:ascii="Arial" w:hAnsi="Arial" w:cs="Arial"/>
          <w:b/>
          <w:sz w:val="20"/>
          <w:szCs w:val="20"/>
        </w:rPr>
        <w:t>343</w:t>
      </w:r>
      <w:r w:rsidR="00D8517B">
        <w:rPr>
          <w:rFonts w:ascii="Arial" w:hAnsi="Arial" w:cs="Arial"/>
          <w:b/>
          <w:sz w:val="20"/>
          <w:szCs w:val="20"/>
        </w:rPr>
        <w:t xml:space="preserve"> </w:t>
      </w:r>
      <w:r w:rsidRPr="00352411">
        <w:rPr>
          <w:rFonts w:ascii="Arial" w:hAnsi="Arial" w:cs="Arial"/>
          <w:sz w:val="20"/>
          <w:szCs w:val="20"/>
        </w:rPr>
        <w:t xml:space="preserve">uvećani su u odnosu na prošlogodišnje izvještajno razdoblje za </w:t>
      </w:r>
      <w:r w:rsidR="00352411" w:rsidRPr="00352411">
        <w:rPr>
          <w:rFonts w:ascii="Arial" w:hAnsi="Arial" w:cs="Arial"/>
          <w:sz w:val="20"/>
          <w:szCs w:val="20"/>
        </w:rPr>
        <w:t>36,9</w:t>
      </w:r>
      <w:r w:rsidRPr="00352411">
        <w:rPr>
          <w:rFonts w:ascii="Arial" w:hAnsi="Arial" w:cs="Arial"/>
          <w:sz w:val="20"/>
          <w:szCs w:val="20"/>
        </w:rPr>
        <w:t>% dijelu bankarskih usluga i usluga platnog prometa zbog povećanja cijene financijskih institucija</w:t>
      </w:r>
      <w:r w:rsidR="00352411" w:rsidRPr="00352411">
        <w:rPr>
          <w:rFonts w:ascii="Arial" w:hAnsi="Arial" w:cs="Arial"/>
          <w:sz w:val="20"/>
          <w:szCs w:val="20"/>
        </w:rPr>
        <w:t xml:space="preserve"> i većeg broja transakcija po transakcijskom računu.</w:t>
      </w:r>
    </w:p>
    <w:p w14:paraId="2C43EC18" w14:textId="2DCA39A5" w:rsidR="008B1B3D" w:rsidRDefault="005C29CF" w:rsidP="00530D4F">
      <w:pPr>
        <w:pStyle w:val="Bezproreda"/>
        <w:ind w:left="-709"/>
        <w:jc w:val="both"/>
        <w:rPr>
          <w:rFonts w:ascii="Arial" w:hAnsi="Arial" w:cs="Arial"/>
          <w:sz w:val="20"/>
          <w:szCs w:val="20"/>
        </w:rPr>
      </w:pPr>
      <w:r w:rsidRPr="007778CD">
        <w:rPr>
          <w:rFonts w:ascii="Arial" w:hAnsi="Arial" w:cs="Arial"/>
          <w:b/>
          <w:bCs/>
          <w:sz w:val="20"/>
          <w:szCs w:val="20"/>
        </w:rPr>
        <w:t>-Rashodi za nabavu nefinancijske imovine 4</w:t>
      </w:r>
      <w:r w:rsidRPr="007778CD">
        <w:rPr>
          <w:rFonts w:ascii="Arial" w:hAnsi="Arial" w:cs="Arial"/>
          <w:sz w:val="20"/>
          <w:szCs w:val="20"/>
        </w:rPr>
        <w:t xml:space="preserve"> veće je u odnosu na isto razdoblje u 2023. godinu za </w:t>
      </w:r>
      <w:r w:rsidR="007778CD" w:rsidRPr="007778CD">
        <w:rPr>
          <w:rFonts w:ascii="Arial" w:hAnsi="Arial" w:cs="Arial"/>
          <w:sz w:val="20"/>
          <w:szCs w:val="20"/>
        </w:rPr>
        <w:t>106,8</w:t>
      </w:r>
      <w:r w:rsidRPr="007778CD">
        <w:rPr>
          <w:rFonts w:ascii="Arial" w:hAnsi="Arial" w:cs="Arial"/>
          <w:sz w:val="20"/>
          <w:szCs w:val="20"/>
        </w:rPr>
        <w:t xml:space="preserve"> % što obuhvaća nabavu uredske opreme i opreme za dječji vrtić, opremu za zaštitu i održavanje</w:t>
      </w:r>
      <w:r w:rsidR="00F77BB9" w:rsidRPr="007778CD">
        <w:rPr>
          <w:rFonts w:ascii="Arial" w:hAnsi="Arial" w:cs="Arial"/>
          <w:sz w:val="20"/>
          <w:szCs w:val="20"/>
        </w:rPr>
        <w:t>, kupnja računala i ulaganje u računalne programe.</w:t>
      </w:r>
    </w:p>
    <w:p w14:paraId="42123A52" w14:textId="7708A9DC" w:rsidR="00745F3B" w:rsidRPr="00745F3B" w:rsidRDefault="00745F3B" w:rsidP="00530D4F">
      <w:pPr>
        <w:pStyle w:val="Bezproreda"/>
        <w:ind w:left="-709"/>
        <w:jc w:val="both"/>
        <w:rPr>
          <w:rFonts w:ascii="Arial" w:hAnsi="Arial" w:cs="Arial"/>
          <w:sz w:val="20"/>
          <w:szCs w:val="20"/>
        </w:rPr>
      </w:pPr>
      <w:r w:rsidRPr="00070E03">
        <w:rPr>
          <w:rFonts w:ascii="Arial" w:hAnsi="Arial" w:cs="Arial"/>
          <w:b/>
          <w:bCs/>
          <w:sz w:val="20"/>
          <w:szCs w:val="20"/>
        </w:rPr>
        <w:t>Broj zaposlenih</w:t>
      </w:r>
      <w:r>
        <w:rPr>
          <w:rFonts w:ascii="Arial" w:hAnsi="Arial" w:cs="Arial"/>
          <w:bCs/>
          <w:sz w:val="20"/>
          <w:szCs w:val="20"/>
        </w:rPr>
        <w:t xml:space="preserve"> u odnosu na prethodnu promatranu godinu je manji za jedan zbog odlaska jedne zaposlenice u mirovinu. </w:t>
      </w:r>
    </w:p>
    <w:p w14:paraId="02F7D3A5" w14:textId="2394C25C" w:rsidR="000116B4" w:rsidRDefault="008B1B3D" w:rsidP="00381BAF">
      <w:pPr>
        <w:pStyle w:val="Bezproreda"/>
        <w:ind w:left="-709"/>
        <w:jc w:val="both"/>
        <w:rPr>
          <w:rFonts w:ascii="Arial" w:hAnsi="Arial" w:cs="Arial"/>
          <w:sz w:val="20"/>
          <w:szCs w:val="20"/>
        </w:rPr>
      </w:pPr>
      <w:r w:rsidRPr="00EA207B">
        <w:rPr>
          <w:rFonts w:ascii="Arial" w:hAnsi="Arial" w:cs="Arial"/>
          <w:b/>
          <w:bCs/>
          <w:sz w:val="20"/>
          <w:szCs w:val="20"/>
        </w:rPr>
        <w:t>Stanje novčanih sredstava</w:t>
      </w:r>
      <w:r w:rsidRPr="00EA207B">
        <w:rPr>
          <w:rFonts w:ascii="Arial" w:hAnsi="Arial" w:cs="Arial"/>
          <w:sz w:val="20"/>
          <w:szCs w:val="20"/>
        </w:rPr>
        <w:t xml:space="preserve"> na transakcijskom računu je </w:t>
      </w:r>
      <w:r w:rsidR="00EA207B" w:rsidRPr="00EA207B">
        <w:rPr>
          <w:rFonts w:ascii="Arial" w:hAnsi="Arial" w:cs="Arial"/>
          <w:sz w:val="20"/>
          <w:szCs w:val="20"/>
        </w:rPr>
        <w:t>manji za 9.511,59 eura tj. za 44,8%, te je stanje računa na dan 31.12.2024. u iznosu od 11.712,38 eura.</w:t>
      </w:r>
    </w:p>
    <w:p w14:paraId="1CF0F8D9" w14:textId="77777777" w:rsidR="00381BAF" w:rsidRPr="00381BAF" w:rsidRDefault="00381BAF" w:rsidP="00381BAF">
      <w:pPr>
        <w:pStyle w:val="Bezproreda"/>
        <w:ind w:left="-709"/>
        <w:jc w:val="both"/>
        <w:rPr>
          <w:rFonts w:ascii="Arial" w:hAnsi="Arial" w:cs="Arial"/>
          <w:sz w:val="20"/>
          <w:szCs w:val="20"/>
        </w:rPr>
      </w:pPr>
    </w:p>
    <w:p w14:paraId="3C3F7591" w14:textId="77777777" w:rsidR="000116B4" w:rsidRPr="00FB4A3F" w:rsidRDefault="000116B4" w:rsidP="00FC1A54">
      <w:pPr>
        <w:pStyle w:val="Bezproreda"/>
        <w:ind w:left="-709"/>
        <w:rPr>
          <w:rFonts w:ascii="Arial" w:hAnsi="Arial" w:cs="Arial"/>
          <w:color w:val="FF0000"/>
          <w:sz w:val="20"/>
          <w:szCs w:val="20"/>
        </w:rPr>
      </w:pPr>
    </w:p>
    <w:p w14:paraId="0932CDC5" w14:textId="3B07AFBC" w:rsidR="000116B4" w:rsidRPr="00271E71" w:rsidRDefault="000116B4" w:rsidP="00D35F4F">
      <w:pPr>
        <w:pStyle w:val="Bezproreda"/>
        <w:ind w:left="-709"/>
        <w:jc w:val="center"/>
        <w:rPr>
          <w:rFonts w:ascii="Arial" w:hAnsi="Arial" w:cs="Arial"/>
          <w:b/>
          <w:bCs/>
          <w:sz w:val="24"/>
          <w:szCs w:val="24"/>
        </w:rPr>
      </w:pPr>
      <w:r w:rsidRPr="00271E71">
        <w:rPr>
          <w:rFonts w:ascii="Arial" w:hAnsi="Arial" w:cs="Arial"/>
          <w:b/>
          <w:bCs/>
          <w:sz w:val="24"/>
          <w:szCs w:val="24"/>
        </w:rPr>
        <w:t xml:space="preserve">Izvještaj o obvezama za razdoblje od 01. siječnja do </w:t>
      </w:r>
      <w:r w:rsidR="00381BAF" w:rsidRPr="00271E71">
        <w:rPr>
          <w:rFonts w:ascii="Arial" w:hAnsi="Arial" w:cs="Arial"/>
          <w:b/>
          <w:bCs/>
          <w:sz w:val="24"/>
          <w:szCs w:val="24"/>
        </w:rPr>
        <w:t>31. prosinca</w:t>
      </w:r>
      <w:r w:rsidRPr="00271E71">
        <w:rPr>
          <w:rFonts w:ascii="Arial" w:hAnsi="Arial" w:cs="Arial"/>
          <w:b/>
          <w:bCs/>
          <w:sz w:val="24"/>
          <w:szCs w:val="24"/>
        </w:rPr>
        <w:t xml:space="preserve"> 2024. godine</w:t>
      </w:r>
    </w:p>
    <w:p w14:paraId="72B109FA" w14:textId="77777777" w:rsidR="000116B4" w:rsidRPr="00271E71" w:rsidRDefault="000116B4" w:rsidP="000116B4">
      <w:pPr>
        <w:pStyle w:val="Bezproreda"/>
        <w:ind w:left="-709"/>
        <w:jc w:val="center"/>
        <w:rPr>
          <w:rFonts w:ascii="Arial" w:hAnsi="Arial" w:cs="Arial"/>
          <w:b/>
          <w:bCs/>
          <w:sz w:val="24"/>
          <w:szCs w:val="24"/>
        </w:rPr>
      </w:pPr>
    </w:p>
    <w:p w14:paraId="72C317B6" w14:textId="1D18DC27" w:rsidR="000116B4" w:rsidRDefault="000116B4" w:rsidP="000116B4">
      <w:pPr>
        <w:pStyle w:val="Bezproreda"/>
        <w:ind w:left="-709"/>
        <w:rPr>
          <w:rFonts w:ascii="Arial" w:hAnsi="Arial" w:cs="Arial"/>
          <w:sz w:val="20"/>
          <w:szCs w:val="20"/>
        </w:rPr>
      </w:pPr>
      <w:r w:rsidRPr="004B4897">
        <w:rPr>
          <w:rFonts w:ascii="Arial" w:hAnsi="Arial" w:cs="Arial"/>
          <w:b/>
          <w:bCs/>
          <w:sz w:val="20"/>
          <w:szCs w:val="20"/>
        </w:rPr>
        <w:t xml:space="preserve">Stanje obveza na kraju izvještajnog razdoblja </w:t>
      </w:r>
      <w:r w:rsidRPr="004B4897">
        <w:rPr>
          <w:rFonts w:ascii="Arial" w:hAnsi="Arial" w:cs="Arial"/>
          <w:sz w:val="20"/>
          <w:szCs w:val="20"/>
        </w:rPr>
        <w:t xml:space="preserve">u iznosu od </w:t>
      </w:r>
      <w:r w:rsidR="0011229C" w:rsidRPr="004B4897">
        <w:rPr>
          <w:rFonts w:ascii="Arial" w:hAnsi="Arial" w:cs="Arial"/>
          <w:sz w:val="20"/>
          <w:szCs w:val="20"/>
        </w:rPr>
        <w:t>23.060,67</w:t>
      </w:r>
      <w:r w:rsidRPr="004B4897">
        <w:rPr>
          <w:rFonts w:ascii="Arial" w:hAnsi="Arial" w:cs="Arial"/>
          <w:sz w:val="20"/>
          <w:szCs w:val="20"/>
        </w:rPr>
        <w:t xml:space="preserve"> eura a odnosi se na obveze prema zaposlenima za mjesec </w:t>
      </w:r>
      <w:r w:rsidR="0011229C" w:rsidRPr="004B4897">
        <w:rPr>
          <w:rFonts w:ascii="Arial" w:hAnsi="Arial" w:cs="Arial"/>
          <w:sz w:val="20"/>
          <w:szCs w:val="20"/>
        </w:rPr>
        <w:t>prosinac</w:t>
      </w:r>
      <w:r w:rsidRPr="004B4897">
        <w:rPr>
          <w:rFonts w:ascii="Arial" w:hAnsi="Arial" w:cs="Arial"/>
          <w:sz w:val="20"/>
          <w:szCs w:val="20"/>
        </w:rPr>
        <w:t xml:space="preserve"> 2024. godinu u iznosu od </w:t>
      </w:r>
      <w:r w:rsidR="0011229C" w:rsidRPr="004B4897">
        <w:rPr>
          <w:rFonts w:ascii="Arial" w:hAnsi="Arial" w:cs="Arial"/>
          <w:sz w:val="20"/>
          <w:szCs w:val="20"/>
        </w:rPr>
        <w:t>21.303,39</w:t>
      </w:r>
      <w:r w:rsidRPr="004B4897">
        <w:rPr>
          <w:rFonts w:ascii="Arial" w:hAnsi="Arial" w:cs="Arial"/>
          <w:sz w:val="20"/>
          <w:szCs w:val="20"/>
        </w:rPr>
        <w:t xml:space="preserve"> eura, obveze prema dobavljačima u iznosu od </w:t>
      </w:r>
      <w:r w:rsidR="0011229C" w:rsidRPr="004B4897">
        <w:rPr>
          <w:rFonts w:ascii="Arial" w:hAnsi="Arial" w:cs="Arial"/>
          <w:sz w:val="20"/>
          <w:szCs w:val="20"/>
        </w:rPr>
        <w:t>1.</w:t>
      </w:r>
      <w:r w:rsidR="0053795E" w:rsidRPr="004B4897">
        <w:rPr>
          <w:rFonts w:ascii="Arial" w:hAnsi="Arial" w:cs="Arial"/>
          <w:sz w:val="20"/>
          <w:szCs w:val="20"/>
        </w:rPr>
        <w:t>757,27</w:t>
      </w:r>
      <w:r w:rsidRPr="004B4897">
        <w:rPr>
          <w:rFonts w:ascii="Arial" w:hAnsi="Arial" w:cs="Arial"/>
          <w:sz w:val="20"/>
          <w:szCs w:val="20"/>
        </w:rPr>
        <w:t xml:space="preserve"> eura od toga </w:t>
      </w:r>
      <w:r w:rsidR="0011229C" w:rsidRPr="004B4897">
        <w:rPr>
          <w:rFonts w:ascii="Arial" w:hAnsi="Arial" w:cs="Arial"/>
          <w:sz w:val="20"/>
          <w:szCs w:val="20"/>
        </w:rPr>
        <w:t>212,94</w:t>
      </w:r>
      <w:r w:rsidRPr="004B4897">
        <w:rPr>
          <w:rFonts w:ascii="Arial" w:hAnsi="Arial" w:cs="Arial"/>
          <w:sz w:val="20"/>
          <w:szCs w:val="20"/>
        </w:rPr>
        <w:t xml:space="preserve"> eura prekoračuje rok dospijeća plaćanja zbog kasne isporuke računa od dobavljača </w:t>
      </w:r>
      <w:r w:rsidR="00C0392C" w:rsidRPr="004B4897">
        <w:rPr>
          <w:rFonts w:ascii="Arial" w:hAnsi="Arial" w:cs="Arial"/>
          <w:sz w:val="20"/>
          <w:szCs w:val="20"/>
        </w:rPr>
        <w:t xml:space="preserve">i dostave istog u računovodstvo, </w:t>
      </w:r>
      <w:r w:rsidRPr="004B4897">
        <w:rPr>
          <w:rFonts w:ascii="Arial" w:hAnsi="Arial" w:cs="Arial"/>
          <w:sz w:val="20"/>
          <w:szCs w:val="20"/>
        </w:rPr>
        <w:t xml:space="preserve">te je obveza podmirena u prvom tjednu </w:t>
      </w:r>
      <w:r w:rsidR="0011229C" w:rsidRPr="004B4897">
        <w:rPr>
          <w:rFonts w:ascii="Arial" w:hAnsi="Arial" w:cs="Arial"/>
          <w:sz w:val="20"/>
          <w:szCs w:val="20"/>
        </w:rPr>
        <w:t>siječnja 2025. godine</w:t>
      </w:r>
      <w:r w:rsidRPr="004B4897">
        <w:rPr>
          <w:rFonts w:ascii="Arial" w:hAnsi="Arial" w:cs="Arial"/>
          <w:sz w:val="20"/>
          <w:szCs w:val="20"/>
        </w:rPr>
        <w:t>.</w:t>
      </w:r>
    </w:p>
    <w:p w14:paraId="5DC29889" w14:textId="77777777" w:rsidR="00773DB2" w:rsidRPr="004B4897" w:rsidRDefault="00773DB2" w:rsidP="000116B4">
      <w:pPr>
        <w:pStyle w:val="Bezproreda"/>
        <w:ind w:left="-709"/>
        <w:rPr>
          <w:rFonts w:ascii="Arial" w:hAnsi="Arial" w:cs="Arial"/>
          <w:sz w:val="20"/>
          <w:szCs w:val="20"/>
        </w:rPr>
      </w:pPr>
    </w:p>
    <w:p w14:paraId="604EA2FA" w14:textId="77777777" w:rsidR="00271E71" w:rsidRPr="00FB4A3F" w:rsidRDefault="00271E71" w:rsidP="000116B4">
      <w:pPr>
        <w:pStyle w:val="Bezproreda"/>
        <w:ind w:left="-709"/>
        <w:rPr>
          <w:rFonts w:ascii="Arial" w:hAnsi="Arial" w:cs="Arial"/>
          <w:color w:val="FF0000"/>
        </w:rPr>
      </w:pPr>
    </w:p>
    <w:p w14:paraId="56802643" w14:textId="1DA6791E" w:rsidR="00271E71" w:rsidRPr="00271E71" w:rsidRDefault="00271E71" w:rsidP="00D35F4F">
      <w:pPr>
        <w:spacing w:line="256" w:lineRule="auto"/>
        <w:contextualSpacing/>
        <w:jc w:val="center"/>
        <w:rPr>
          <w:rFonts w:ascii="Arial" w:hAnsi="Arial" w:cs="Arial"/>
          <w:b/>
          <w:sz w:val="24"/>
          <w:szCs w:val="24"/>
        </w:rPr>
      </w:pPr>
      <w:r w:rsidRPr="00271E71">
        <w:rPr>
          <w:rFonts w:ascii="Arial" w:hAnsi="Arial" w:cs="Arial"/>
          <w:b/>
          <w:sz w:val="24"/>
          <w:szCs w:val="24"/>
        </w:rPr>
        <w:t>Izvještaj o promjenama u vrijednosti i obujmu imovine i obveza za razdoblje od</w:t>
      </w:r>
    </w:p>
    <w:p w14:paraId="0D48CF41" w14:textId="7D3CEBB8" w:rsidR="00271E71" w:rsidRPr="00271E71" w:rsidRDefault="00271E71" w:rsidP="00D35F4F">
      <w:pPr>
        <w:spacing w:line="256" w:lineRule="auto"/>
        <w:contextualSpacing/>
        <w:jc w:val="center"/>
        <w:rPr>
          <w:rFonts w:ascii="Arial" w:hAnsi="Arial" w:cs="Arial"/>
          <w:b/>
          <w:sz w:val="24"/>
          <w:szCs w:val="24"/>
        </w:rPr>
      </w:pPr>
      <w:r w:rsidRPr="00271E71">
        <w:rPr>
          <w:rFonts w:ascii="Arial" w:hAnsi="Arial" w:cs="Arial"/>
          <w:b/>
          <w:sz w:val="24"/>
          <w:szCs w:val="24"/>
        </w:rPr>
        <w:t>01.siječnja do 31. prosinca 202</w:t>
      </w:r>
      <w:r>
        <w:rPr>
          <w:rFonts w:ascii="Arial" w:hAnsi="Arial" w:cs="Arial"/>
          <w:b/>
          <w:sz w:val="24"/>
          <w:szCs w:val="24"/>
        </w:rPr>
        <w:t>4</w:t>
      </w:r>
      <w:r w:rsidRPr="00271E71">
        <w:rPr>
          <w:rFonts w:ascii="Arial" w:hAnsi="Arial" w:cs="Arial"/>
          <w:b/>
          <w:sz w:val="24"/>
          <w:szCs w:val="24"/>
        </w:rPr>
        <w:t>. godine</w:t>
      </w:r>
    </w:p>
    <w:p w14:paraId="5C51FF53" w14:textId="77777777" w:rsidR="004B4897" w:rsidRDefault="004B4897" w:rsidP="00D35F4F">
      <w:pPr>
        <w:spacing w:line="256" w:lineRule="auto"/>
        <w:jc w:val="center"/>
        <w:rPr>
          <w:rFonts w:ascii="Arial" w:hAnsi="Arial" w:cs="Arial"/>
          <w:b/>
          <w:sz w:val="16"/>
          <w:szCs w:val="16"/>
        </w:rPr>
      </w:pPr>
    </w:p>
    <w:p w14:paraId="096AB94C" w14:textId="218EA666" w:rsidR="00DE2899" w:rsidRDefault="00271E71" w:rsidP="00DE2899">
      <w:pPr>
        <w:spacing w:line="256" w:lineRule="auto"/>
        <w:ind w:left="-709"/>
        <w:jc w:val="both"/>
        <w:rPr>
          <w:rFonts w:ascii="Arial" w:hAnsi="Arial" w:cs="Arial"/>
          <w:bCs/>
          <w:iCs/>
          <w:sz w:val="20"/>
          <w:szCs w:val="20"/>
        </w:rPr>
      </w:pPr>
      <w:r w:rsidRPr="00271E71">
        <w:rPr>
          <w:rFonts w:ascii="Arial" w:hAnsi="Arial" w:cs="Arial"/>
          <w:bCs/>
          <w:iCs/>
          <w:sz w:val="20"/>
          <w:szCs w:val="20"/>
        </w:rPr>
        <w:t>U ovom izvještajnom razdoblju 01.01.202</w:t>
      </w:r>
      <w:r w:rsidR="004B4897">
        <w:rPr>
          <w:rFonts w:ascii="Arial" w:hAnsi="Arial" w:cs="Arial"/>
          <w:bCs/>
          <w:iCs/>
          <w:sz w:val="20"/>
          <w:szCs w:val="20"/>
        </w:rPr>
        <w:t>4</w:t>
      </w:r>
      <w:r w:rsidRPr="00271E71">
        <w:rPr>
          <w:rFonts w:ascii="Arial" w:hAnsi="Arial" w:cs="Arial"/>
          <w:bCs/>
          <w:iCs/>
          <w:sz w:val="20"/>
          <w:szCs w:val="20"/>
        </w:rPr>
        <w:t>-.31.12.202</w:t>
      </w:r>
      <w:r w:rsidR="004B4897">
        <w:rPr>
          <w:rFonts w:ascii="Arial" w:hAnsi="Arial" w:cs="Arial"/>
          <w:bCs/>
          <w:iCs/>
          <w:sz w:val="20"/>
          <w:szCs w:val="20"/>
        </w:rPr>
        <w:t>4</w:t>
      </w:r>
      <w:r w:rsidRPr="00271E71">
        <w:rPr>
          <w:rFonts w:ascii="Arial" w:hAnsi="Arial" w:cs="Arial"/>
          <w:bCs/>
          <w:iCs/>
          <w:sz w:val="20"/>
          <w:szCs w:val="20"/>
        </w:rPr>
        <w:t>. nema promjena u vrijednosti i obujmu imovine i obveza</w:t>
      </w:r>
      <w:r w:rsidR="00DE2899">
        <w:rPr>
          <w:rFonts w:ascii="Arial" w:hAnsi="Arial" w:cs="Arial"/>
          <w:bCs/>
          <w:iCs/>
          <w:sz w:val="20"/>
          <w:szCs w:val="20"/>
        </w:rPr>
        <w:t>.</w:t>
      </w:r>
    </w:p>
    <w:p w14:paraId="78925325" w14:textId="208CA635" w:rsidR="00D35F4F" w:rsidRDefault="00D35F4F" w:rsidP="00DE2899">
      <w:pPr>
        <w:spacing w:line="256" w:lineRule="auto"/>
        <w:ind w:left="-709"/>
        <w:jc w:val="both"/>
        <w:rPr>
          <w:rFonts w:ascii="Arial" w:hAnsi="Arial" w:cs="Arial"/>
          <w:bCs/>
          <w:iCs/>
          <w:sz w:val="20"/>
          <w:szCs w:val="20"/>
        </w:rPr>
      </w:pPr>
    </w:p>
    <w:p w14:paraId="73856092" w14:textId="2B77113C" w:rsidR="002D2761" w:rsidRDefault="00D35F4F" w:rsidP="002D2761">
      <w:pPr>
        <w:spacing w:line="256" w:lineRule="auto"/>
        <w:ind w:left="-709"/>
        <w:jc w:val="center"/>
        <w:rPr>
          <w:rFonts w:ascii="Arial" w:hAnsi="Arial" w:cs="Arial"/>
          <w:b/>
          <w:bCs/>
          <w:iCs/>
          <w:sz w:val="20"/>
          <w:szCs w:val="20"/>
        </w:rPr>
      </w:pPr>
      <w:r w:rsidRPr="00D35F4F">
        <w:rPr>
          <w:rFonts w:ascii="Arial" w:hAnsi="Arial" w:cs="Arial"/>
          <w:b/>
          <w:bCs/>
          <w:iCs/>
          <w:sz w:val="24"/>
          <w:szCs w:val="24"/>
        </w:rPr>
        <w:t>Bilanca od 01.siječnja 2024. -31.prosinca 2024. godine</w:t>
      </w:r>
    </w:p>
    <w:p w14:paraId="11DCF85A" w14:textId="77777777" w:rsidR="002D2761" w:rsidRPr="002D2761" w:rsidRDefault="002D2761" w:rsidP="002D2761">
      <w:pPr>
        <w:spacing w:line="256" w:lineRule="auto"/>
        <w:ind w:left="-709"/>
        <w:jc w:val="center"/>
        <w:rPr>
          <w:rFonts w:ascii="Arial" w:hAnsi="Arial" w:cs="Arial"/>
          <w:b/>
          <w:bCs/>
          <w:iCs/>
          <w:sz w:val="20"/>
          <w:szCs w:val="20"/>
        </w:rPr>
      </w:pPr>
    </w:p>
    <w:p w14:paraId="6FC5045D" w14:textId="0600065C" w:rsidR="00AF1DFA" w:rsidRDefault="00773DB2" w:rsidP="00AF1DFA">
      <w:pPr>
        <w:spacing w:line="256" w:lineRule="auto"/>
        <w:ind w:left="-709"/>
        <w:contextualSpacing/>
        <w:jc w:val="both"/>
        <w:rPr>
          <w:rFonts w:ascii="Arial" w:hAnsi="Arial" w:cs="Arial"/>
          <w:sz w:val="20"/>
          <w:szCs w:val="20"/>
        </w:rPr>
      </w:pPr>
      <w:r w:rsidRPr="00773DB2">
        <w:rPr>
          <w:rFonts w:ascii="Arial" w:hAnsi="Arial" w:cs="Arial"/>
          <w:b/>
          <w:sz w:val="20"/>
          <w:szCs w:val="20"/>
        </w:rPr>
        <w:t>Nefinancijska imovina (šifra B002)</w:t>
      </w:r>
      <w:r w:rsidRPr="00773DB2">
        <w:rPr>
          <w:rFonts w:ascii="Arial" w:hAnsi="Arial" w:cs="Arial"/>
          <w:sz w:val="20"/>
          <w:szCs w:val="20"/>
        </w:rPr>
        <w:t xml:space="preserve"> u odnosu na prošlu godinu indeks je manji za </w:t>
      </w:r>
      <w:r w:rsidRPr="00B8433D">
        <w:rPr>
          <w:rFonts w:ascii="Arial" w:hAnsi="Arial" w:cs="Arial"/>
          <w:sz w:val="20"/>
          <w:szCs w:val="20"/>
        </w:rPr>
        <w:t>14</w:t>
      </w:r>
      <w:r w:rsidRPr="00773DB2">
        <w:rPr>
          <w:rFonts w:ascii="Arial" w:hAnsi="Arial" w:cs="Arial"/>
          <w:sz w:val="20"/>
          <w:szCs w:val="20"/>
        </w:rPr>
        <w:t xml:space="preserve">% jer se u ovom izvještajnom razdoblju </w:t>
      </w:r>
      <w:r w:rsidRPr="00B8433D">
        <w:rPr>
          <w:rFonts w:ascii="Arial" w:hAnsi="Arial" w:cs="Arial"/>
          <w:sz w:val="20"/>
          <w:szCs w:val="20"/>
        </w:rPr>
        <w:t>nabavljalo vrlo malo</w:t>
      </w:r>
      <w:r w:rsidRPr="00773DB2">
        <w:rPr>
          <w:rFonts w:ascii="Arial" w:hAnsi="Arial" w:cs="Arial"/>
          <w:sz w:val="20"/>
          <w:szCs w:val="20"/>
        </w:rPr>
        <w:t xml:space="preserve"> nefinancijsk</w:t>
      </w:r>
      <w:r w:rsidRPr="00B8433D">
        <w:rPr>
          <w:rFonts w:ascii="Arial" w:hAnsi="Arial" w:cs="Arial"/>
          <w:sz w:val="20"/>
          <w:szCs w:val="20"/>
        </w:rPr>
        <w:t>e</w:t>
      </w:r>
      <w:r w:rsidRPr="00773DB2">
        <w:rPr>
          <w:rFonts w:ascii="Arial" w:hAnsi="Arial" w:cs="Arial"/>
          <w:sz w:val="20"/>
          <w:szCs w:val="20"/>
        </w:rPr>
        <w:t xml:space="preserve"> imovin</w:t>
      </w:r>
      <w:r w:rsidRPr="00B8433D">
        <w:rPr>
          <w:rFonts w:ascii="Arial" w:hAnsi="Arial" w:cs="Arial"/>
          <w:sz w:val="20"/>
          <w:szCs w:val="20"/>
        </w:rPr>
        <w:t>e</w:t>
      </w:r>
      <w:r w:rsidRPr="00773DB2">
        <w:rPr>
          <w:rFonts w:ascii="Arial" w:hAnsi="Arial" w:cs="Arial"/>
          <w:sz w:val="20"/>
          <w:szCs w:val="20"/>
        </w:rPr>
        <w:t xml:space="preserve"> te je smanjenje u odnosu na prošlogodišnje izvještajno razdoblje nastalo uglavnom radi ispravka vrijednosti imovine.</w:t>
      </w:r>
    </w:p>
    <w:p w14:paraId="54AF3BE0" w14:textId="77777777" w:rsidR="003351E2" w:rsidRDefault="00AF1DFA" w:rsidP="003351E2">
      <w:pPr>
        <w:spacing w:line="256" w:lineRule="auto"/>
        <w:ind w:left="-709"/>
        <w:contextualSpacing/>
        <w:jc w:val="both"/>
        <w:rPr>
          <w:rFonts w:ascii="Arial" w:hAnsi="Arial" w:cs="Arial"/>
          <w:sz w:val="20"/>
          <w:szCs w:val="20"/>
        </w:rPr>
      </w:pPr>
      <w:r w:rsidRPr="00AF1DFA">
        <w:rPr>
          <w:rFonts w:ascii="Arial" w:hAnsi="Arial" w:cs="Arial"/>
          <w:b/>
          <w:bCs/>
          <w:sz w:val="20"/>
          <w:szCs w:val="20"/>
        </w:rPr>
        <w:t>Nematerijalna proizvedena imovina (šifra 026)</w:t>
      </w:r>
      <w:r w:rsidRPr="00AF1DFA">
        <w:rPr>
          <w:rFonts w:ascii="Arial" w:hAnsi="Arial" w:cs="Arial"/>
          <w:sz w:val="20"/>
          <w:szCs w:val="20"/>
        </w:rPr>
        <w:t xml:space="preserve"> manja je za 8 % u odnosu na 2023. godinu dok u dijeli ulaganja u računalne programe (šifra 0262) je povećanje za 11% jer je bilo potrebno na novo kupljeno računalo instalirati nove programe</w:t>
      </w:r>
      <w:r>
        <w:rPr>
          <w:rFonts w:ascii="Arial" w:hAnsi="Arial" w:cs="Arial"/>
          <w:sz w:val="20"/>
          <w:szCs w:val="20"/>
        </w:rPr>
        <w:t xml:space="preserve"> i nabavu sitnog inventara</w:t>
      </w:r>
      <w:r w:rsidRPr="00AF1DFA">
        <w:rPr>
          <w:rFonts w:ascii="Arial" w:hAnsi="Arial" w:cs="Arial"/>
          <w:sz w:val="20"/>
          <w:szCs w:val="20"/>
        </w:rPr>
        <w:t>.</w:t>
      </w:r>
    </w:p>
    <w:p w14:paraId="24CE300E" w14:textId="1730819A" w:rsidR="00AF1DFA" w:rsidRPr="00AF1DFA" w:rsidRDefault="00AF1DFA" w:rsidP="00672B76">
      <w:pPr>
        <w:spacing w:line="256" w:lineRule="auto"/>
        <w:ind w:left="-709"/>
        <w:contextualSpacing/>
        <w:jc w:val="both"/>
        <w:rPr>
          <w:rFonts w:ascii="Arial" w:hAnsi="Arial" w:cs="Arial"/>
          <w:sz w:val="20"/>
          <w:szCs w:val="20"/>
        </w:rPr>
      </w:pPr>
      <w:r w:rsidRPr="00AF1DFA">
        <w:rPr>
          <w:rFonts w:ascii="Arial" w:hAnsi="Arial" w:cs="Arial"/>
          <w:b/>
          <w:sz w:val="20"/>
          <w:szCs w:val="20"/>
        </w:rPr>
        <w:t>Ostala potraživanja (šifra 129</w:t>
      </w:r>
      <w:r w:rsidRPr="00AF1DFA">
        <w:rPr>
          <w:rFonts w:ascii="Arial" w:hAnsi="Arial" w:cs="Arial"/>
          <w:sz w:val="20"/>
          <w:szCs w:val="20"/>
        </w:rPr>
        <w:t xml:space="preserve">) su potraživanja za bolovanje prema HZZO </w:t>
      </w:r>
      <w:r w:rsidR="003351E2" w:rsidRPr="00D725FC">
        <w:rPr>
          <w:rFonts w:ascii="Arial" w:hAnsi="Arial" w:cs="Arial"/>
          <w:sz w:val="20"/>
          <w:szCs w:val="20"/>
        </w:rPr>
        <w:t xml:space="preserve">što nije bilo realizirano u prethodnoj 2023. godini. </w:t>
      </w:r>
      <w:r w:rsidRPr="00AF1DFA">
        <w:rPr>
          <w:rFonts w:ascii="Arial" w:hAnsi="Arial" w:cs="Arial"/>
          <w:b/>
          <w:sz w:val="20"/>
          <w:szCs w:val="20"/>
        </w:rPr>
        <w:t>Potraživanja za prihode poslovanja (šifra 16</w:t>
      </w:r>
      <w:r w:rsidRPr="00AF1DFA">
        <w:rPr>
          <w:rFonts w:ascii="Arial" w:hAnsi="Arial" w:cs="Arial"/>
          <w:sz w:val="20"/>
          <w:szCs w:val="20"/>
        </w:rPr>
        <w:t>) su potraživanja od roditelja za sufinanciranje 30 % ekonomske cijene dječjeg vrtića</w:t>
      </w:r>
      <w:r w:rsidR="003351E2" w:rsidRPr="00D725FC">
        <w:rPr>
          <w:rFonts w:ascii="Arial" w:hAnsi="Arial" w:cs="Arial"/>
          <w:sz w:val="20"/>
          <w:szCs w:val="20"/>
        </w:rPr>
        <w:t xml:space="preserve"> u iznosu od 430,79 eura tj. 44,9% manji nego protekle 2023. godine</w:t>
      </w:r>
      <w:r w:rsidRPr="00AF1DFA">
        <w:rPr>
          <w:rFonts w:ascii="Arial" w:hAnsi="Arial" w:cs="Arial"/>
          <w:sz w:val="20"/>
          <w:szCs w:val="20"/>
        </w:rPr>
        <w:t xml:space="preserve">. </w:t>
      </w:r>
      <w:r w:rsidRPr="00AF1DFA">
        <w:rPr>
          <w:rFonts w:ascii="Arial" w:hAnsi="Arial" w:cs="Arial"/>
          <w:b/>
          <w:sz w:val="20"/>
          <w:szCs w:val="20"/>
        </w:rPr>
        <w:t>Rashodi budućeg razdoblja (šifra 19)</w:t>
      </w:r>
      <w:r w:rsidRPr="00AF1DFA">
        <w:rPr>
          <w:rFonts w:ascii="Arial" w:hAnsi="Arial" w:cs="Arial"/>
          <w:sz w:val="20"/>
          <w:szCs w:val="20"/>
        </w:rPr>
        <w:t xml:space="preserve"> u iznosu od </w:t>
      </w:r>
      <w:r w:rsidR="00672B76" w:rsidRPr="00D725FC">
        <w:rPr>
          <w:rFonts w:ascii="Arial" w:hAnsi="Arial" w:cs="Arial"/>
          <w:sz w:val="20"/>
          <w:szCs w:val="20"/>
        </w:rPr>
        <w:t>11.879,73</w:t>
      </w:r>
      <w:r w:rsidRPr="00AF1DFA">
        <w:rPr>
          <w:rFonts w:ascii="Arial" w:hAnsi="Arial" w:cs="Arial"/>
          <w:sz w:val="20"/>
          <w:szCs w:val="20"/>
        </w:rPr>
        <w:t>e</w:t>
      </w:r>
      <w:r w:rsidR="00672B76" w:rsidRPr="00D725FC">
        <w:rPr>
          <w:rFonts w:ascii="Arial" w:hAnsi="Arial" w:cs="Arial"/>
          <w:sz w:val="20"/>
          <w:szCs w:val="20"/>
        </w:rPr>
        <w:t>ura</w:t>
      </w:r>
      <w:r w:rsidRPr="00AF1DFA">
        <w:rPr>
          <w:rFonts w:ascii="Arial" w:hAnsi="Arial" w:cs="Arial"/>
          <w:sz w:val="20"/>
          <w:szCs w:val="20"/>
        </w:rPr>
        <w:t xml:space="preserve"> su tzv. kontinuirani rashodi odnosno rashodi za zaposlene te </w:t>
      </w:r>
      <w:r w:rsidR="00672B76" w:rsidRPr="00D725FC">
        <w:rPr>
          <w:rFonts w:ascii="Arial" w:hAnsi="Arial" w:cs="Arial"/>
          <w:sz w:val="20"/>
          <w:szCs w:val="20"/>
        </w:rPr>
        <w:t xml:space="preserve">će isti u 2025. godini biti sukladno novom Pravilniku o proračunskom računovodstvu rasknjiženi. </w:t>
      </w:r>
      <w:r w:rsidRPr="00AF1DFA">
        <w:rPr>
          <w:rFonts w:ascii="Arial" w:hAnsi="Arial" w:cs="Arial"/>
          <w:b/>
          <w:sz w:val="20"/>
          <w:szCs w:val="20"/>
        </w:rPr>
        <w:t>Obveze za zaposlene (šifra 231)</w:t>
      </w:r>
      <w:r w:rsidRPr="00AF1DFA">
        <w:rPr>
          <w:rFonts w:ascii="Arial" w:hAnsi="Arial" w:cs="Arial"/>
          <w:sz w:val="20"/>
          <w:szCs w:val="20"/>
        </w:rPr>
        <w:t xml:space="preserve"> su obveze zaposlenicima za plaću za mjesec prosinca 202</w:t>
      </w:r>
      <w:r w:rsidR="004B290A" w:rsidRPr="00D725FC">
        <w:rPr>
          <w:rFonts w:ascii="Arial" w:hAnsi="Arial" w:cs="Arial"/>
          <w:sz w:val="20"/>
          <w:szCs w:val="20"/>
        </w:rPr>
        <w:t>4</w:t>
      </w:r>
      <w:r w:rsidRPr="00AF1DFA">
        <w:rPr>
          <w:rFonts w:ascii="Arial" w:hAnsi="Arial" w:cs="Arial"/>
          <w:sz w:val="20"/>
          <w:szCs w:val="20"/>
        </w:rPr>
        <w:t>. godine, a koja je isplaćena u siječnju 202</w:t>
      </w:r>
      <w:r w:rsidR="004B290A" w:rsidRPr="00D725FC">
        <w:rPr>
          <w:rFonts w:ascii="Arial" w:hAnsi="Arial" w:cs="Arial"/>
          <w:sz w:val="20"/>
          <w:szCs w:val="20"/>
        </w:rPr>
        <w:t>5</w:t>
      </w:r>
      <w:r w:rsidRPr="00AF1DFA">
        <w:rPr>
          <w:rFonts w:ascii="Arial" w:hAnsi="Arial" w:cs="Arial"/>
          <w:sz w:val="20"/>
          <w:szCs w:val="20"/>
        </w:rPr>
        <w:t>. godine</w:t>
      </w:r>
      <w:r w:rsidR="004B290A" w:rsidRPr="00D725FC">
        <w:rPr>
          <w:rFonts w:ascii="Arial" w:hAnsi="Arial" w:cs="Arial"/>
          <w:sz w:val="20"/>
          <w:szCs w:val="20"/>
        </w:rPr>
        <w:t xml:space="preserve"> u iznosu od 21</w:t>
      </w:r>
      <w:r w:rsidR="008164AF" w:rsidRPr="00D725FC">
        <w:rPr>
          <w:rFonts w:ascii="Arial" w:hAnsi="Arial" w:cs="Arial"/>
          <w:sz w:val="20"/>
          <w:szCs w:val="20"/>
        </w:rPr>
        <w:t>.303,39 eura tj. veći su za 63,6% zbog povećanja plaća zaposlenima dva puta kroz 2024. godinu.</w:t>
      </w:r>
    </w:p>
    <w:p w14:paraId="6696D500" w14:textId="07A7E113" w:rsidR="00FF7000" w:rsidRPr="00D725FC" w:rsidRDefault="00AF1DFA" w:rsidP="00AF1DFA">
      <w:pPr>
        <w:spacing w:line="256" w:lineRule="auto"/>
        <w:ind w:left="-709"/>
        <w:contextualSpacing/>
        <w:jc w:val="both"/>
        <w:rPr>
          <w:rFonts w:ascii="Arial" w:hAnsi="Arial" w:cs="Arial"/>
          <w:sz w:val="20"/>
          <w:szCs w:val="20"/>
        </w:rPr>
      </w:pPr>
      <w:r w:rsidRPr="00D725FC">
        <w:rPr>
          <w:rFonts w:ascii="Arial" w:hAnsi="Arial" w:cs="Arial"/>
          <w:b/>
          <w:sz w:val="20"/>
          <w:szCs w:val="20"/>
        </w:rPr>
        <w:t xml:space="preserve">Obveze za materijalne rashode (šifra 232) </w:t>
      </w:r>
      <w:r w:rsidRPr="00D725FC">
        <w:rPr>
          <w:rFonts w:ascii="Arial" w:hAnsi="Arial" w:cs="Arial"/>
          <w:sz w:val="20"/>
          <w:szCs w:val="20"/>
        </w:rPr>
        <w:t>su obveze prema dobavljačima za nabavu robe i usluga te su 17,</w:t>
      </w:r>
      <w:r w:rsidR="008164AF" w:rsidRPr="00D725FC">
        <w:rPr>
          <w:rFonts w:ascii="Arial" w:hAnsi="Arial" w:cs="Arial"/>
          <w:sz w:val="20"/>
          <w:szCs w:val="20"/>
        </w:rPr>
        <w:t>1</w:t>
      </w:r>
      <w:r w:rsidRPr="00D725FC">
        <w:rPr>
          <w:rFonts w:ascii="Arial" w:hAnsi="Arial" w:cs="Arial"/>
          <w:sz w:val="20"/>
          <w:szCs w:val="20"/>
        </w:rPr>
        <w:t xml:space="preserve">0% </w:t>
      </w:r>
      <w:r w:rsidR="008164AF" w:rsidRPr="00D725FC">
        <w:rPr>
          <w:rFonts w:ascii="Arial" w:hAnsi="Arial" w:cs="Arial"/>
          <w:sz w:val="20"/>
          <w:szCs w:val="20"/>
        </w:rPr>
        <w:t xml:space="preserve">veći </w:t>
      </w:r>
      <w:r w:rsidRPr="00D725FC">
        <w:rPr>
          <w:rFonts w:ascii="Arial" w:hAnsi="Arial" w:cs="Arial"/>
          <w:sz w:val="20"/>
          <w:szCs w:val="20"/>
        </w:rPr>
        <w:t>u odnosu na 202</w:t>
      </w:r>
      <w:r w:rsidR="008164AF" w:rsidRPr="00D725FC">
        <w:rPr>
          <w:rFonts w:ascii="Arial" w:hAnsi="Arial" w:cs="Arial"/>
          <w:sz w:val="20"/>
          <w:szCs w:val="20"/>
        </w:rPr>
        <w:t>3</w:t>
      </w:r>
      <w:r w:rsidRPr="00D725FC">
        <w:rPr>
          <w:rFonts w:ascii="Arial" w:hAnsi="Arial" w:cs="Arial"/>
          <w:sz w:val="20"/>
          <w:szCs w:val="20"/>
        </w:rPr>
        <w:t>. godinu.</w:t>
      </w:r>
      <w:r w:rsidR="008164AF" w:rsidRPr="00D725FC">
        <w:rPr>
          <w:rFonts w:ascii="Arial" w:hAnsi="Arial" w:cs="Arial"/>
          <w:sz w:val="20"/>
          <w:szCs w:val="20"/>
        </w:rPr>
        <w:t xml:space="preserve"> </w:t>
      </w:r>
    </w:p>
    <w:p w14:paraId="4E7243FC" w14:textId="3D3D6754" w:rsidR="008164AF" w:rsidRPr="00773DB2" w:rsidRDefault="008164AF" w:rsidP="00AF1DFA">
      <w:pPr>
        <w:spacing w:line="256" w:lineRule="auto"/>
        <w:ind w:left="-709"/>
        <w:contextualSpacing/>
        <w:jc w:val="both"/>
        <w:rPr>
          <w:rFonts w:ascii="Arial" w:hAnsi="Arial" w:cs="Arial"/>
          <w:sz w:val="20"/>
          <w:szCs w:val="20"/>
        </w:rPr>
      </w:pPr>
      <w:r w:rsidRPr="00D725FC">
        <w:rPr>
          <w:rFonts w:ascii="Arial" w:hAnsi="Arial" w:cs="Arial"/>
          <w:b/>
          <w:sz w:val="20"/>
          <w:szCs w:val="20"/>
        </w:rPr>
        <w:t>Nedospjele obveze</w:t>
      </w:r>
      <w:r w:rsidRPr="00D725FC">
        <w:rPr>
          <w:rFonts w:ascii="Arial" w:hAnsi="Arial" w:cs="Arial"/>
          <w:sz w:val="20"/>
          <w:szCs w:val="20"/>
        </w:rPr>
        <w:t xml:space="preserve"> za rashode poslovanja veće su 58,8% tj. 8.538,09 eura što uključuje obveze prema zaposlenima za mjesec prosinac 2024.</w:t>
      </w:r>
      <w:r w:rsidR="00D725FC">
        <w:rPr>
          <w:rFonts w:ascii="Arial" w:hAnsi="Arial" w:cs="Arial"/>
          <w:sz w:val="20"/>
          <w:szCs w:val="20"/>
        </w:rPr>
        <w:t>godine</w:t>
      </w:r>
      <w:r w:rsidRPr="00D725FC">
        <w:rPr>
          <w:rFonts w:ascii="Arial" w:hAnsi="Arial" w:cs="Arial"/>
          <w:sz w:val="20"/>
          <w:szCs w:val="20"/>
        </w:rPr>
        <w:t>, obveze prema dobavljačima.</w:t>
      </w:r>
    </w:p>
    <w:p w14:paraId="1DB3E46E" w14:textId="1DCA465F" w:rsidR="00773DB2" w:rsidRDefault="00773DB2" w:rsidP="00773DB2">
      <w:pPr>
        <w:spacing w:line="256" w:lineRule="auto"/>
        <w:rPr>
          <w:rFonts w:ascii="Arial" w:hAnsi="Arial" w:cs="Arial"/>
          <w:b/>
          <w:bCs/>
          <w:iCs/>
          <w:sz w:val="20"/>
          <w:szCs w:val="20"/>
        </w:rPr>
      </w:pPr>
    </w:p>
    <w:p w14:paraId="05A2E248" w14:textId="77777777" w:rsidR="00024C19" w:rsidRDefault="00024C19" w:rsidP="004F345A">
      <w:pPr>
        <w:spacing w:line="256" w:lineRule="auto"/>
        <w:ind w:left="-709"/>
        <w:jc w:val="center"/>
        <w:rPr>
          <w:rFonts w:ascii="Arial" w:hAnsi="Arial" w:cs="Arial"/>
          <w:b/>
          <w:bCs/>
          <w:iCs/>
          <w:sz w:val="20"/>
          <w:szCs w:val="20"/>
        </w:rPr>
      </w:pPr>
    </w:p>
    <w:p w14:paraId="3CADDFDE" w14:textId="77777777" w:rsidR="00024C19" w:rsidRDefault="00024C19" w:rsidP="004F345A">
      <w:pPr>
        <w:spacing w:line="256" w:lineRule="auto"/>
        <w:ind w:left="-709"/>
        <w:jc w:val="center"/>
        <w:rPr>
          <w:rFonts w:ascii="Arial" w:hAnsi="Arial" w:cs="Arial"/>
          <w:b/>
          <w:bCs/>
          <w:iCs/>
          <w:sz w:val="24"/>
          <w:szCs w:val="24"/>
        </w:rPr>
      </w:pPr>
    </w:p>
    <w:p w14:paraId="34876096" w14:textId="77777777" w:rsidR="00024C19" w:rsidRDefault="00024C19" w:rsidP="008C7DFC">
      <w:pPr>
        <w:spacing w:line="256" w:lineRule="auto"/>
        <w:ind w:left="-426"/>
        <w:jc w:val="center"/>
        <w:rPr>
          <w:rFonts w:ascii="Arial" w:hAnsi="Arial" w:cs="Arial"/>
          <w:b/>
          <w:bCs/>
          <w:iCs/>
          <w:sz w:val="24"/>
          <w:szCs w:val="24"/>
        </w:rPr>
      </w:pPr>
    </w:p>
    <w:p w14:paraId="3BCE411C" w14:textId="75721472" w:rsidR="00DE2899" w:rsidRDefault="00045384" w:rsidP="004F345A">
      <w:pPr>
        <w:spacing w:line="256" w:lineRule="auto"/>
        <w:ind w:left="-709"/>
        <w:jc w:val="center"/>
        <w:rPr>
          <w:rFonts w:ascii="Arial" w:hAnsi="Arial" w:cs="Arial"/>
          <w:b/>
          <w:bCs/>
          <w:iCs/>
          <w:sz w:val="24"/>
          <w:szCs w:val="24"/>
        </w:rPr>
      </w:pPr>
      <w:r w:rsidRPr="00045384">
        <w:rPr>
          <w:rFonts w:ascii="Arial" w:hAnsi="Arial" w:cs="Arial"/>
          <w:b/>
          <w:bCs/>
          <w:iCs/>
          <w:sz w:val="24"/>
          <w:szCs w:val="24"/>
        </w:rPr>
        <w:t>Izvještaj o rashodima prema funkcijskoj klasifikaciji</w:t>
      </w:r>
      <w:r>
        <w:rPr>
          <w:rFonts w:ascii="Arial" w:hAnsi="Arial" w:cs="Arial"/>
          <w:b/>
          <w:bCs/>
          <w:iCs/>
          <w:sz w:val="24"/>
          <w:szCs w:val="24"/>
        </w:rPr>
        <w:t xml:space="preserve"> od 01. siječnja – 31. prosinca 2024. godine</w:t>
      </w:r>
    </w:p>
    <w:p w14:paraId="4178B217" w14:textId="6A4FFDE9" w:rsidR="00045384" w:rsidRDefault="00045384" w:rsidP="00111761">
      <w:pPr>
        <w:spacing w:line="256" w:lineRule="auto"/>
        <w:ind w:left="-709"/>
        <w:rPr>
          <w:rFonts w:ascii="Arial" w:hAnsi="Arial" w:cs="Arial"/>
          <w:bCs/>
          <w:iCs/>
          <w:sz w:val="20"/>
          <w:szCs w:val="20"/>
        </w:rPr>
      </w:pPr>
      <w:r w:rsidRPr="002D2761">
        <w:rPr>
          <w:rFonts w:ascii="Arial" w:hAnsi="Arial" w:cs="Arial"/>
          <w:bCs/>
          <w:iCs/>
          <w:sz w:val="20"/>
          <w:szCs w:val="20"/>
        </w:rPr>
        <w:t xml:space="preserve">Rashod prema funkcijskoj klasifikaciji </w:t>
      </w:r>
      <w:r w:rsidR="002D2761" w:rsidRPr="002D2761">
        <w:rPr>
          <w:rFonts w:ascii="Arial" w:hAnsi="Arial" w:cs="Arial"/>
          <w:bCs/>
          <w:iCs/>
          <w:sz w:val="20"/>
          <w:szCs w:val="20"/>
        </w:rPr>
        <w:t>u 2024. godini je u iznosu od 270.763,21 eura za predškolsko obrazovanje a u odnosu na prošlogodišnje promatrano razdoblje povećanje je od 28,2% tj. 59.555,49 eura.</w:t>
      </w:r>
    </w:p>
    <w:p w14:paraId="19CCCEE7" w14:textId="77777777" w:rsidR="004F345A" w:rsidRPr="002D2761" w:rsidRDefault="004F345A" w:rsidP="00045384">
      <w:pPr>
        <w:spacing w:line="256" w:lineRule="auto"/>
        <w:ind w:left="-709"/>
        <w:jc w:val="center"/>
        <w:rPr>
          <w:rFonts w:ascii="Arial" w:hAnsi="Arial" w:cs="Arial"/>
          <w:bCs/>
          <w:iCs/>
          <w:sz w:val="20"/>
          <w:szCs w:val="20"/>
        </w:rPr>
      </w:pPr>
    </w:p>
    <w:p w14:paraId="600E2956" w14:textId="4F1E9433" w:rsidR="00DE2899" w:rsidRDefault="00DE2899" w:rsidP="00DE2899">
      <w:pPr>
        <w:spacing w:line="256" w:lineRule="auto"/>
        <w:ind w:left="-709"/>
        <w:jc w:val="both"/>
        <w:rPr>
          <w:rFonts w:ascii="Arial" w:hAnsi="Arial" w:cs="Arial"/>
        </w:rPr>
      </w:pPr>
      <w:r w:rsidRPr="00DE2899">
        <w:rPr>
          <w:rFonts w:ascii="Arial" w:hAnsi="Arial" w:cs="Arial"/>
        </w:rPr>
        <w:t>POPIS SUDSKIH SPOROVA U TIJEKU</w:t>
      </w:r>
    </w:p>
    <w:p w14:paraId="6328382D" w14:textId="77777777" w:rsidR="00E11F39" w:rsidRPr="00DE2899" w:rsidRDefault="00E11F39" w:rsidP="00DE2899">
      <w:pPr>
        <w:spacing w:line="256" w:lineRule="auto"/>
        <w:ind w:left="-709"/>
        <w:jc w:val="both"/>
        <w:rPr>
          <w:rFonts w:ascii="Arial" w:hAnsi="Arial" w:cs="Arial"/>
          <w:bCs/>
          <w:iCs/>
          <w:sz w:val="20"/>
          <w:szCs w:val="20"/>
        </w:rPr>
      </w:pPr>
    </w:p>
    <w:tbl>
      <w:tblPr>
        <w:tblStyle w:val="Reetkatablice"/>
        <w:tblpPr w:leftFromText="180" w:rightFromText="180" w:vertAnchor="text" w:horzAnchor="margin" w:tblpXSpec="center" w:tblpY="-77"/>
        <w:tblW w:w="10910" w:type="dxa"/>
        <w:tblLook w:val="04A0" w:firstRow="1" w:lastRow="0" w:firstColumn="1" w:lastColumn="0" w:noHBand="0" w:noVBand="1"/>
      </w:tblPr>
      <w:tblGrid>
        <w:gridCol w:w="958"/>
        <w:gridCol w:w="1109"/>
        <w:gridCol w:w="1104"/>
        <w:gridCol w:w="1589"/>
        <w:gridCol w:w="1116"/>
        <w:gridCol w:w="1285"/>
        <w:gridCol w:w="1689"/>
        <w:gridCol w:w="1061"/>
        <w:gridCol w:w="999"/>
      </w:tblGrid>
      <w:tr w:rsidR="000F51FD" w:rsidRPr="00DE2899" w14:paraId="345D6074" w14:textId="77777777" w:rsidTr="00CC7EFA">
        <w:trPr>
          <w:trHeight w:val="642"/>
        </w:trPr>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4AE4C"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Red. br.</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F5C39"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Tuženik</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1BC8B"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Tužitelj</w:t>
            </w:r>
          </w:p>
        </w:tc>
        <w:tc>
          <w:tcPr>
            <w:tcW w:w="1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ADF10"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Sažeti opis prirode spora</w:t>
            </w:r>
          </w:p>
        </w:tc>
        <w:tc>
          <w:tcPr>
            <w:tcW w:w="1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C35FE"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Iznos glavnice</w:t>
            </w:r>
          </w:p>
          <w:p w14:paraId="7D200831" w14:textId="77777777" w:rsidR="00DE2899" w:rsidRPr="00DE2899" w:rsidRDefault="00DE2899" w:rsidP="00DE2899">
            <w:pPr>
              <w:jc w:val="center"/>
              <w:rPr>
                <w:rFonts w:ascii="Arial" w:hAnsi="Arial" w:cs="Arial"/>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74579"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Procjena financijskog izvještaja</w:t>
            </w:r>
          </w:p>
        </w:tc>
        <w:tc>
          <w:tcPr>
            <w:tcW w:w="1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10E98"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Procijenjeno vrijeme odlijeva ili priljeva sredstava</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9BCAD"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Početak sudskog spora</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8226C"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Napomena</w:t>
            </w:r>
          </w:p>
        </w:tc>
      </w:tr>
      <w:tr w:rsidR="00060503" w:rsidRPr="00DE2899" w14:paraId="0CA48F28" w14:textId="77777777" w:rsidTr="00CC7EFA">
        <w:trPr>
          <w:trHeight w:val="532"/>
        </w:trPr>
        <w:tc>
          <w:tcPr>
            <w:tcW w:w="961" w:type="dxa"/>
            <w:tcBorders>
              <w:top w:val="single" w:sz="4" w:space="0" w:color="auto"/>
              <w:left w:val="single" w:sz="4" w:space="0" w:color="auto"/>
              <w:bottom w:val="single" w:sz="4" w:space="0" w:color="auto"/>
              <w:right w:val="single" w:sz="4" w:space="0" w:color="auto"/>
            </w:tcBorders>
            <w:vAlign w:val="center"/>
          </w:tcPr>
          <w:p w14:paraId="7D4A0619"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112" w:type="dxa"/>
            <w:tcBorders>
              <w:top w:val="single" w:sz="4" w:space="0" w:color="auto"/>
              <w:left w:val="single" w:sz="4" w:space="0" w:color="auto"/>
              <w:bottom w:val="single" w:sz="4" w:space="0" w:color="auto"/>
              <w:right w:val="single" w:sz="4" w:space="0" w:color="auto"/>
            </w:tcBorders>
            <w:vAlign w:val="center"/>
          </w:tcPr>
          <w:p w14:paraId="1BD8E39F"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107" w:type="dxa"/>
            <w:tcBorders>
              <w:top w:val="single" w:sz="4" w:space="0" w:color="auto"/>
              <w:left w:val="single" w:sz="4" w:space="0" w:color="auto"/>
              <w:bottom w:val="single" w:sz="4" w:space="0" w:color="auto"/>
              <w:right w:val="single" w:sz="4" w:space="0" w:color="auto"/>
            </w:tcBorders>
            <w:vAlign w:val="center"/>
          </w:tcPr>
          <w:p w14:paraId="6AA10C06"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597" w:type="dxa"/>
            <w:tcBorders>
              <w:top w:val="single" w:sz="4" w:space="0" w:color="auto"/>
              <w:left w:val="single" w:sz="4" w:space="0" w:color="auto"/>
              <w:bottom w:val="single" w:sz="4" w:space="0" w:color="auto"/>
              <w:right w:val="single" w:sz="4" w:space="0" w:color="auto"/>
            </w:tcBorders>
            <w:vAlign w:val="center"/>
          </w:tcPr>
          <w:p w14:paraId="3F572409"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119" w:type="dxa"/>
            <w:tcBorders>
              <w:top w:val="single" w:sz="4" w:space="0" w:color="auto"/>
              <w:left w:val="single" w:sz="4" w:space="0" w:color="auto"/>
              <w:bottom w:val="single" w:sz="4" w:space="0" w:color="auto"/>
              <w:right w:val="single" w:sz="4" w:space="0" w:color="auto"/>
            </w:tcBorders>
            <w:vAlign w:val="center"/>
          </w:tcPr>
          <w:p w14:paraId="0D0E4FA7"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287" w:type="dxa"/>
            <w:tcBorders>
              <w:top w:val="single" w:sz="4" w:space="0" w:color="auto"/>
              <w:left w:val="single" w:sz="4" w:space="0" w:color="auto"/>
              <w:bottom w:val="single" w:sz="4" w:space="0" w:color="auto"/>
              <w:right w:val="single" w:sz="4" w:space="0" w:color="auto"/>
            </w:tcBorders>
            <w:vAlign w:val="center"/>
          </w:tcPr>
          <w:p w14:paraId="79128019"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694" w:type="dxa"/>
            <w:tcBorders>
              <w:top w:val="single" w:sz="4" w:space="0" w:color="auto"/>
              <w:left w:val="single" w:sz="4" w:space="0" w:color="auto"/>
              <w:bottom w:val="single" w:sz="4" w:space="0" w:color="auto"/>
              <w:right w:val="single" w:sz="4" w:space="0" w:color="auto"/>
            </w:tcBorders>
            <w:vAlign w:val="center"/>
          </w:tcPr>
          <w:p w14:paraId="55C93565"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063" w:type="dxa"/>
            <w:tcBorders>
              <w:top w:val="single" w:sz="4" w:space="0" w:color="auto"/>
              <w:left w:val="single" w:sz="4" w:space="0" w:color="auto"/>
              <w:bottom w:val="single" w:sz="4" w:space="0" w:color="auto"/>
              <w:right w:val="single" w:sz="4" w:space="0" w:color="auto"/>
            </w:tcBorders>
            <w:vAlign w:val="center"/>
          </w:tcPr>
          <w:p w14:paraId="23123657"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970" w:type="dxa"/>
            <w:tcBorders>
              <w:top w:val="single" w:sz="4" w:space="0" w:color="auto"/>
              <w:left w:val="single" w:sz="4" w:space="0" w:color="auto"/>
              <w:bottom w:val="single" w:sz="4" w:space="0" w:color="auto"/>
              <w:right w:val="single" w:sz="4" w:space="0" w:color="auto"/>
            </w:tcBorders>
            <w:vAlign w:val="center"/>
          </w:tcPr>
          <w:p w14:paraId="0CBB687F"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r>
      <w:tr w:rsidR="00060503" w:rsidRPr="00DE2899" w14:paraId="728D1B15" w14:textId="77777777" w:rsidTr="00CC7EFA">
        <w:trPr>
          <w:trHeight w:val="532"/>
        </w:trPr>
        <w:tc>
          <w:tcPr>
            <w:tcW w:w="961" w:type="dxa"/>
            <w:tcBorders>
              <w:top w:val="single" w:sz="4" w:space="0" w:color="auto"/>
              <w:left w:val="single" w:sz="4" w:space="0" w:color="auto"/>
              <w:bottom w:val="single" w:sz="4" w:space="0" w:color="auto"/>
              <w:right w:val="single" w:sz="4" w:space="0" w:color="auto"/>
            </w:tcBorders>
            <w:vAlign w:val="center"/>
          </w:tcPr>
          <w:p w14:paraId="20149BCB"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112" w:type="dxa"/>
            <w:tcBorders>
              <w:top w:val="single" w:sz="4" w:space="0" w:color="auto"/>
              <w:left w:val="single" w:sz="4" w:space="0" w:color="auto"/>
              <w:bottom w:val="single" w:sz="4" w:space="0" w:color="auto"/>
              <w:right w:val="single" w:sz="4" w:space="0" w:color="auto"/>
            </w:tcBorders>
            <w:vAlign w:val="center"/>
          </w:tcPr>
          <w:p w14:paraId="51A97F4E"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107" w:type="dxa"/>
            <w:tcBorders>
              <w:top w:val="single" w:sz="4" w:space="0" w:color="auto"/>
              <w:left w:val="single" w:sz="4" w:space="0" w:color="auto"/>
              <w:bottom w:val="single" w:sz="4" w:space="0" w:color="auto"/>
              <w:right w:val="single" w:sz="4" w:space="0" w:color="auto"/>
            </w:tcBorders>
            <w:vAlign w:val="center"/>
          </w:tcPr>
          <w:p w14:paraId="6E85B4E4"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597" w:type="dxa"/>
            <w:tcBorders>
              <w:top w:val="single" w:sz="4" w:space="0" w:color="auto"/>
              <w:left w:val="single" w:sz="4" w:space="0" w:color="auto"/>
              <w:bottom w:val="single" w:sz="4" w:space="0" w:color="auto"/>
              <w:right w:val="single" w:sz="4" w:space="0" w:color="auto"/>
            </w:tcBorders>
            <w:vAlign w:val="center"/>
          </w:tcPr>
          <w:p w14:paraId="1A797BB4"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119" w:type="dxa"/>
            <w:tcBorders>
              <w:top w:val="single" w:sz="4" w:space="0" w:color="auto"/>
              <w:left w:val="single" w:sz="4" w:space="0" w:color="auto"/>
              <w:bottom w:val="single" w:sz="4" w:space="0" w:color="auto"/>
              <w:right w:val="single" w:sz="4" w:space="0" w:color="auto"/>
            </w:tcBorders>
            <w:vAlign w:val="center"/>
          </w:tcPr>
          <w:p w14:paraId="418B5905"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287" w:type="dxa"/>
            <w:tcBorders>
              <w:top w:val="single" w:sz="4" w:space="0" w:color="auto"/>
              <w:left w:val="single" w:sz="4" w:space="0" w:color="auto"/>
              <w:bottom w:val="single" w:sz="4" w:space="0" w:color="auto"/>
              <w:right w:val="single" w:sz="4" w:space="0" w:color="auto"/>
            </w:tcBorders>
            <w:vAlign w:val="center"/>
          </w:tcPr>
          <w:p w14:paraId="19E2EA3D"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694" w:type="dxa"/>
            <w:tcBorders>
              <w:top w:val="single" w:sz="4" w:space="0" w:color="auto"/>
              <w:left w:val="single" w:sz="4" w:space="0" w:color="auto"/>
              <w:bottom w:val="single" w:sz="4" w:space="0" w:color="auto"/>
              <w:right w:val="single" w:sz="4" w:space="0" w:color="auto"/>
            </w:tcBorders>
            <w:vAlign w:val="center"/>
          </w:tcPr>
          <w:p w14:paraId="3140DC56"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1063" w:type="dxa"/>
            <w:tcBorders>
              <w:top w:val="single" w:sz="4" w:space="0" w:color="auto"/>
              <w:left w:val="single" w:sz="4" w:space="0" w:color="auto"/>
              <w:bottom w:val="single" w:sz="4" w:space="0" w:color="auto"/>
              <w:right w:val="single" w:sz="4" w:space="0" w:color="auto"/>
            </w:tcBorders>
            <w:vAlign w:val="center"/>
          </w:tcPr>
          <w:p w14:paraId="20518F3C"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c>
          <w:tcPr>
            <w:tcW w:w="970" w:type="dxa"/>
            <w:tcBorders>
              <w:top w:val="single" w:sz="4" w:space="0" w:color="auto"/>
              <w:left w:val="single" w:sz="4" w:space="0" w:color="auto"/>
              <w:bottom w:val="single" w:sz="4" w:space="0" w:color="auto"/>
              <w:right w:val="single" w:sz="4" w:space="0" w:color="auto"/>
            </w:tcBorders>
            <w:vAlign w:val="center"/>
          </w:tcPr>
          <w:p w14:paraId="73F0A8EA" w14:textId="77777777" w:rsidR="00DE2899" w:rsidRPr="00DE2899" w:rsidRDefault="00DE2899" w:rsidP="00DE2899">
            <w:pPr>
              <w:jc w:val="center"/>
              <w:rPr>
                <w:rFonts w:ascii="Arial" w:hAnsi="Arial" w:cs="Arial"/>
                <w:sz w:val="16"/>
                <w:szCs w:val="16"/>
              </w:rPr>
            </w:pPr>
            <w:r w:rsidRPr="00DE2899">
              <w:rPr>
                <w:rFonts w:ascii="Arial" w:hAnsi="Arial" w:cs="Arial"/>
                <w:sz w:val="16"/>
                <w:szCs w:val="16"/>
              </w:rPr>
              <w:t>0</w:t>
            </w:r>
          </w:p>
        </w:tc>
      </w:tr>
    </w:tbl>
    <w:p w14:paraId="70999E98" w14:textId="7DB1F62B" w:rsidR="00DE2899" w:rsidRDefault="00DE2899" w:rsidP="00DE2899">
      <w:pPr>
        <w:ind w:left="-567"/>
        <w:rPr>
          <w:rFonts w:ascii="Arial" w:hAnsi="Arial" w:cs="Arial"/>
        </w:rPr>
      </w:pPr>
      <w:r w:rsidRPr="00DE2899">
        <w:rPr>
          <w:rFonts w:ascii="Arial" w:hAnsi="Arial" w:cs="Arial"/>
        </w:rPr>
        <w:t>Nema sudskih sporova u tijeku.</w:t>
      </w:r>
    </w:p>
    <w:p w14:paraId="2F3DD824" w14:textId="77777777" w:rsidR="00E11F39" w:rsidRDefault="00E11F39" w:rsidP="00DE2899">
      <w:pPr>
        <w:ind w:left="-567"/>
        <w:rPr>
          <w:rFonts w:ascii="Arial" w:hAnsi="Arial" w:cs="Arial"/>
        </w:rPr>
      </w:pPr>
    </w:p>
    <w:p w14:paraId="212D3CB3" w14:textId="7B078DA1" w:rsidR="009D56D2" w:rsidRPr="00E11F39" w:rsidRDefault="009D56D2" w:rsidP="00DE2899">
      <w:pPr>
        <w:ind w:left="-567"/>
        <w:rPr>
          <w:rFonts w:ascii="Arial" w:hAnsi="Arial" w:cs="Arial"/>
          <w:sz w:val="16"/>
          <w:szCs w:val="16"/>
        </w:rPr>
      </w:pPr>
      <w:r w:rsidRPr="00AB2C63">
        <w:rPr>
          <w:rFonts w:ascii="Arial" w:hAnsi="Arial" w:cs="Arial"/>
          <w:sz w:val="20"/>
          <w:szCs w:val="20"/>
        </w:rPr>
        <w:t>POPIS UGOVORNIH ODNOSA I SLIČNO KOJI UZ ISPUNJENJE ODREĐENIH UVJETA MOGU POSTAT</w:t>
      </w:r>
      <w:r>
        <w:rPr>
          <w:rFonts w:ascii="Arial" w:hAnsi="Arial" w:cs="Arial"/>
          <w:sz w:val="20"/>
          <w:szCs w:val="20"/>
        </w:rPr>
        <w:t>I OBVEZA ILI IMOVINA</w:t>
      </w:r>
    </w:p>
    <w:tbl>
      <w:tblPr>
        <w:tblStyle w:val="Reetkatablice"/>
        <w:tblpPr w:leftFromText="180" w:rightFromText="180" w:vertAnchor="text" w:horzAnchor="margin" w:tblpXSpec="center" w:tblpY="324"/>
        <w:tblW w:w="10768" w:type="dxa"/>
        <w:tblLook w:val="04A0" w:firstRow="1" w:lastRow="0" w:firstColumn="1" w:lastColumn="0" w:noHBand="0" w:noVBand="1"/>
      </w:tblPr>
      <w:tblGrid>
        <w:gridCol w:w="681"/>
        <w:gridCol w:w="1015"/>
        <w:gridCol w:w="1014"/>
        <w:gridCol w:w="1245"/>
        <w:gridCol w:w="1414"/>
        <w:gridCol w:w="1415"/>
        <w:gridCol w:w="1505"/>
        <w:gridCol w:w="920"/>
        <w:gridCol w:w="1559"/>
      </w:tblGrid>
      <w:tr w:rsidR="00E11F39" w:rsidRPr="00AB2C63" w14:paraId="67DCFB58" w14:textId="77777777" w:rsidTr="00AC6077">
        <w:trPr>
          <w:trHeight w:val="383"/>
        </w:trPr>
        <w:tc>
          <w:tcPr>
            <w:tcW w:w="681" w:type="dxa"/>
            <w:shd w:val="clear" w:color="auto" w:fill="D9D9D9" w:themeFill="background1" w:themeFillShade="D9"/>
            <w:vAlign w:val="center"/>
          </w:tcPr>
          <w:p w14:paraId="72E92C88" w14:textId="77777777" w:rsidR="00E11F39" w:rsidRPr="00AB2C63" w:rsidRDefault="00E11F39" w:rsidP="00AC6077">
            <w:pPr>
              <w:ind w:hanging="116"/>
              <w:rPr>
                <w:rFonts w:ascii="Arial" w:hAnsi="Arial" w:cs="Arial"/>
                <w:sz w:val="16"/>
                <w:szCs w:val="16"/>
              </w:rPr>
            </w:pPr>
            <w:r w:rsidRPr="00AB2C63">
              <w:rPr>
                <w:rFonts w:ascii="Arial" w:hAnsi="Arial" w:cs="Arial"/>
                <w:sz w:val="16"/>
                <w:szCs w:val="16"/>
              </w:rPr>
              <w:t>Red. br.</w:t>
            </w:r>
          </w:p>
        </w:tc>
        <w:tc>
          <w:tcPr>
            <w:tcW w:w="1015" w:type="dxa"/>
            <w:shd w:val="clear" w:color="auto" w:fill="D9D9D9" w:themeFill="background1" w:themeFillShade="D9"/>
            <w:vAlign w:val="center"/>
          </w:tcPr>
          <w:p w14:paraId="765E4029"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Datum izdavanja/ primanja jamstva</w:t>
            </w:r>
          </w:p>
        </w:tc>
        <w:tc>
          <w:tcPr>
            <w:tcW w:w="1014" w:type="dxa"/>
            <w:shd w:val="clear" w:color="auto" w:fill="D9D9D9" w:themeFill="background1" w:themeFillShade="D9"/>
            <w:vAlign w:val="center"/>
          </w:tcPr>
          <w:p w14:paraId="18D04E52"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Zadužnica</w:t>
            </w:r>
          </w:p>
        </w:tc>
        <w:tc>
          <w:tcPr>
            <w:tcW w:w="1245" w:type="dxa"/>
            <w:shd w:val="clear" w:color="auto" w:fill="D9D9D9" w:themeFill="background1" w:themeFillShade="D9"/>
            <w:vAlign w:val="center"/>
          </w:tcPr>
          <w:p w14:paraId="0A596926"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Iznos danog/ primljenog jamstva</w:t>
            </w:r>
          </w:p>
        </w:tc>
        <w:tc>
          <w:tcPr>
            <w:tcW w:w="1414" w:type="dxa"/>
            <w:shd w:val="clear" w:color="auto" w:fill="D9D9D9" w:themeFill="background1" w:themeFillShade="D9"/>
            <w:vAlign w:val="center"/>
          </w:tcPr>
          <w:p w14:paraId="2323839D"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Primatelj/ davatelj</w:t>
            </w:r>
          </w:p>
          <w:p w14:paraId="247CE957" w14:textId="77777777" w:rsidR="00E11F39" w:rsidRPr="00AB2C63" w:rsidRDefault="00E11F39" w:rsidP="00AC6077">
            <w:pPr>
              <w:ind w:hanging="116"/>
              <w:jc w:val="center"/>
              <w:rPr>
                <w:rFonts w:ascii="Arial" w:hAnsi="Arial" w:cs="Arial"/>
                <w:sz w:val="16"/>
                <w:szCs w:val="16"/>
              </w:rPr>
            </w:pPr>
          </w:p>
        </w:tc>
        <w:tc>
          <w:tcPr>
            <w:tcW w:w="1415" w:type="dxa"/>
            <w:shd w:val="clear" w:color="auto" w:fill="D9D9D9" w:themeFill="background1" w:themeFillShade="D9"/>
            <w:vAlign w:val="center"/>
          </w:tcPr>
          <w:p w14:paraId="67107722"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Namjena</w:t>
            </w:r>
          </w:p>
        </w:tc>
        <w:tc>
          <w:tcPr>
            <w:tcW w:w="1505" w:type="dxa"/>
            <w:shd w:val="clear" w:color="auto" w:fill="D9D9D9" w:themeFill="background1" w:themeFillShade="D9"/>
            <w:vAlign w:val="center"/>
          </w:tcPr>
          <w:p w14:paraId="7DB74CF5"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Dokument</w:t>
            </w:r>
          </w:p>
        </w:tc>
        <w:tc>
          <w:tcPr>
            <w:tcW w:w="920" w:type="dxa"/>
            <w:shd w:val="clear" w:color="auto" w:fill="D9D9D9" w:themeFill="background1" w:themeFillShade="D9"/>
            <w:vAlign w:val="center"/>
          </w:tcPr>
          <w:p w14:paraId="7C104BA3"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Rok važenja</w:t>
            </w:r>
          </w:p>
        </w:tc>
        <w:tc>
          <w:tcPr>
            <w:tcW w:w="1559" w:type="dxa"/>
            <w:shd w:val="clear" w:color="auto" w:fill="D9D9D9" w:themeFill="background1" w:themeFillShade="D9"/>
            <w:vAlign w:val="center"/>
          </w:tcPr>
          <w:p w14:paraId="18329724"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Napomena</w:t>
            </w:r>
          </w:p>
        </w:tc>
      </w:tr>
      <w:tr w:rsidR="00E11F39" w:rsidRPr="00AB2C63" w14:paraId="468B4324" w14:textId="77777777" w:rsidTr="00AC6077">
        <w:trPr>
          <w:trHeight w:val="616"/>
        </w:trPr>
        <w:tc>
          <w:tcPr>
            <w:tcW w:w="681" w:type="dxa"/>
            <w:vAlign w:val="center"/>
          </w:tcPr>
          <w:p w14:paraId="23A352CF"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1.</w:t>
            </w:r>
          </w:p>
        </w:tc>
        <w:tc>
          <w:tcPr>
            <w:tcW w:w="1015" w:type="dxa"/>
            <w:vAlign w:val="center"/>
          </w:tcPr>
          <w:p w14:paraId="4BACA1FF"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13.9.2019.</w:t>
            </w:r>
          </w:p>
        </w:tc>
        <w:tc>
          <w:tcPr>
            <w:tcW w:w="1014" w:type="dxa"/>
            <w:vAlign w:val="center"/>
          </w:tcPr>
          <w:p w14:paraId="38CF8276"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Primljena</w:t>
            </w:r>
          </w:p>
        </w:tc>
        <w:tc>
          <w:tcPr>
            <w:tcW w:w="1245" w:type="dxa"/>
            <w:vAlign w:val="center"/>
          </w:tcPr>
          <w:p w14:paraId="0BCCC602" w14:textId="77777777" w:rsidR="00E11F39" w:rsidRDefault="00E11F39" w:rsidP="00AC6077">
            <w:pPr>
              <w:ind w:hanging="116"/>
              <w:jc w:val="center"/>
              <w:rPr>
                <w:rFonts w:ascii="Arial" w:hAnsi="Arial" w:cs="Arial"/>
                <w:sz w:val="16"/>
                <w:szCs w:val="16"/>
              </w:rPr>
            </w:pPr>
            <w:r w:rsidRPr="00AB2C63">
              <w:rPr>
                <w:rFonts w:ascii="Arial" w:hAnsi="Arial" w:cs="Arial"/>
                <w:sz w:val="16"/>
                <w:szCs w:val="16"/>
              </w:rPr>
              <w:t>100.000</w:t>
            </w:r>
            <w:r>
              <w:rPr>
                <w:rFonts w:ascii="Arial" w:hAnsi="Arial" w:cs="Arial"/>
                <w:sz w:val="16"/>
                <w:szCs w:val="16"/>
              </w:rPr>
              <w:t>,00 kn</w:t>
            </w:r>
          </w:p>
          <w:p w14:paraId="49D4E5BC" w14:textId="77777777" w:rsidR="00E11F39" w:rsidRPr="00AB2C63" w:rsidRDefault="00E11F39" w:rsidP="00AC6077">
            <w:pPr>
              <w:ind w:hanging="116"/>
              <w:jc w:val="center"/>
              <w:rPr>
                <w:rFonts w:ascii="Arial" w:hAnsi="Arial" w:cs="Arial"/>
                <w:sz w:val="16"/>
                <w:szCs w:val="16"/>
              </w:rPr>
            </w:pPr>
            <w:r>
              <w:rPr>
                <w:rFonts w:ascii="Arial" w:hAnsi="Arial" w:cs="Arial"/>
                <w:sz w:val="16"/>
                <w:szCs w:val="16"/>
              </w:rPr>
              <w:t>(13.272,28 eura)</w:t>
            </w:r>
          </w:p>
        </w:tc>
        <w:tc>
          <w:tcPr>
            <w:tcW w:w="1414" w:type="dxa"/>
            <w:vAlign w:val="center"/>
          </w:tcPr>
          <w:p w14:paraId="077E412E"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 xml:space="preserve">TEAM GRAĐENJE </w:t>
            </w:r>
          </w:p>
          <w:p w14:paraId="11973A0F"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d.o.o.</w:t>
            </w:r>
          </w:p>
        </w:tc>
        <w:tc>
          <w:tcPr>
            <w:tcW w:w="1415" w:type="dxa"/>
            <w:vAlign w:val="center"/>
          </w:tcPr>
          <w:p w14:paraId="719B1BB3"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Jamstvo za otklanjanje nedostataka u jamstvenom roku</w:t>
            </w:r>
          </w:p>
        </w:tc>
        <w:tc>
          <w:tcPr>
            <w:tcW w:w="1505" w:type="dxa"/>
            <w:vAlign w:val="center"/>
          </w:tcPr>
          <w:p w14:paraId="6682A274" w14:textId="77777777" w:rsidR="00E11F39" w:rsidRPr="00AB2C63" w:rsidRDefault="00E11F39" w:rsidP="00AC6077">
            <w:pPr>
              <w:ind w:hanging="116"/>
              <w:jc w:val="center"/>
              <w:rPr>
                <w:rFonts w:ascii="Arial" w:hAnsi="Arial" w:cs="Arial"/>
                <w:sz w:val="16"/>
                <w:szCs w:val="16"/>
              </w:rPr>
            </w:pPr>
            <w:r w:rsidRPr="00AB2C63">
              <w:rPr>
                <w:rFonts w:ascii="Arial" w:hAnsi="Arial" w:cs="Arial"/>
                <w:sz w:val="16"/>
                <w:szCs w:val="16"/>
              </w:rPr>
              <w:t>Ugovor o izvođenju radova na rekonstrukciji građevine</w:t>
            </w:r>
          </w:p>
        </w:tc>
        <w:tc>
          <w:tcPr>
            <w:tcW w:w="920" w:type="dxa"/>
            <w:vAlign w:val="center"/>
          </w:tcPr>
          <w:p w14:paraId="3C9F22DE" w14:textId="77777777" w:rsidR="00E11F39" w:rsidRPr="00AB2C63" w:rsidRDefault="00E11F39" w:rsidP="00AC6077">
            <w:pPr>
              <w:ind w:hanging="116"/>
              <w:rPr>
                <w:rFonts w:ascii="Arial" w:hAnsi="Arial" w:cs="Arial"/>
                <w:sz w:val="16"/>
                <w:szCs w:val="16"/>
              </w:rPr>
            </w:pPr>
            <w:r>
              <w:rPr>
                <w:rFonts w:ascii="Arial" w:hAnsi="Arial" w:cs="Arial"/>
                <w:sz w:val="16"/>
                <w:szCs w:val="16"/>
              </w:rPr>
              <w:t xml:space="preserve">   </w:t>
            </w:r>
            <w:r w:rsidRPr="00AB2C63">
              <w:rPr>
                <w:rFonts w:ascii="Arial" w:hAnsi="Arial" w:cs="Arial"/>
                <w:sz w:val="16"/>
                <w:szCs w:val="16"/>
              </w:rPr>
              <w:t>5 godina</w:t>
            </w:r>
          </w:p>
        </w:tc>
        <w:tc>
          <w:tcPr>
            <w:tcW w:w="1559" w:type="dxa"/>
            <w:vAlign w:val="center"/>
          </w:tcPr>
          <w:p w14:paraId="4009799D" w14:textId="77777777" w:rsidR="00E11F39" w:rsidRPr="00AB2C63" w:rsidRDefault="00E11F39" w:rsidP="00AC6077">
            <w:pPr>
              <w:ind w:hanging="116"/>
              <w:jc w:val="center"/>
              <w:rPr>
                <w:rFonts w:ascii="Arial" w:hAnsi="Arial" w:cs="Arial"/>
                <w:b/>
                <w:sz w:val="16"/>
                <w:szCs w:val="16"/>
              </w:rPr>
            </w:pPr>
            <w:r w:rsidRPr="00EC6353">
              <w:rPr>
                <w:rFonts w:ascii="Arial" w:hAnsi="Arial" w:cs="Arial"/>
                <w:b/>
                <w:sz w:val="16"/>
                <w:szCs w:val="16"/>
              </w:rPr>
              <w:t>Izvršen povrat zadužnica 06.11.2024.( T-11)</w:t>
            </w:r>
          </w:p>
        </w:tc>
      </w:tr>
    </w:tbl>
    <w:p w14:paraId="7564F3AC" w14:textId="0DF5D665" w:rsidR="00AB2C63" w:rsidRPr="00AB2C63" w:rsidRDefault="00AB2C63" w:rsidP="008D6C71">
      <w:pPr>
        <w:rPr>
          <w:rFonts w:ascii="Arial" w:hAnsi="Arial" w:cs="Arial"/>
          <w:sz w:val="20"/>
          <w:szCs w:val="20"/>
        </w:rPr>
      </w:pPr>
    </w:p>
    <w:p w14:paraId="30F30072" w14:textId="7EE01443" w:rsidR="00AB2C63" w:rsidRDefault="00AB2C63" w:rsidP="008D6C71">
      <w:pPr>
        <w:rPr>
          <w:rFonts w:ascii="Arial" w:hAnsi="Arial" w:cs="Arial"/>
          <w:sz w:val="18"/>
          <w:szCs w:val="18"/>
        </w:rPr>
      </w:pPr>
    </w:p>
    <w:p w14:paraId="7576537C" w14:textId="77777777" w:rsidR="005C1D0F" w:rsidRPr="00DE2899" w:rsidRDefault="005C1D0F" w:rsidP="008D6C71">
      <w:pPr>
        <w:rPr>
          <w:rFonts w:ascii="Arial" w:hAnsi="Arial" w:cs="Arial"/>
          <w:sz w:val="18"/>
          <w:szCs w:val="18"/>
        </w:rPr>
      </w:pPr>
    </w:p>
    <w:p w14:paraId="63323E1C" w14:textId="77777777" w:rsidR="00D82D84" w:rsidRPr="00FB4A3F" w:rsidRDefault="00D82D84" w:rsidP="000116B4">
      <w:pPr>
        <w:pStyle w:val="Bezproreda"/>
        <w:ind w:left="-709"/>
        <w:jc w:val="both"/>
        <w:rPr>
          <w:rFonts w:ascii="Arial" w:hAnsi="Arial" w:cs="Arial"/>
          <w:b/>
          <w:bCs/>
          <w:color w:val="FF0000"/>
          <w:sz w:val="24"/>
          <w:szCs w:val="24"/>
        </w:rPr>
      </w:pPr>
    </w:p>
    <w:p w14:paraId="1CE267B1" w14:textId="77777777" w:rsidR="008B1B3D" w:rsidRPr="00FB4A3F" w:rsidRDefault="008B1B3D" w:rsidP="00D82D84">
      <w:pPr>
        <w:pStyle w:val="Bezproreda"/>
        <w:ind w:left="-709"/>
        <w:jc w:val="both"/>
        <w:rPr>
          <w:rFonts w:ascii="Arial" w:hAnsi="Arial" w:cs="Arial"/>
          <w:color w:val="FF0000"/>
          <w:sz w:val="20"/>
          <w:szCs w:val="20"/>
        </w:rPr>
      </w:pPr>
    </w:p>
    <w:p w14:paraId="7B740C82" w14:textId="45B0EBFF" w:rsidR="008B1B3D" w:rsidRPr="004271AA" w:rsidRDefault="008B1B3D" w:rsidP="00D82D84">
      <w:pPr>
        <w:pStyle w:val="Bezproreda"/>
        <w:ind w:left="-709"/>
        <w:jc w:val="both"/>
        <w:rPr>
          <w:rFonts w:ascii="Arial" w:hAnsi="Arial" w:cs="Arial"/>
          <w:sz w:val="20"/>
          <w:szCs w:val="20"/>
        </w:rPr>
      </w:pPr>
      <w:r w:rsidRPr="004271AA">
        <w:rPr>
          <w:rFonts w:ascii="Arial" w:hAnsi="Arial" w:cs="Arial"/>
          <w:sz w:val="20"/>
          <w:szCs w:val="20"/>
        </w:rPr>
        <w:t xml:space="preserve">U </w:t>
      </w:r>
      <w:proofErr w:type="spellStart"/>
      <w:r w:rsidRPr="004271AA">
        <w:rPr>
          <w:rFonts w:ascii="Arial" w:hAnsi="Arial" w:cs="Arial"/>
          <w:sz w:val="20"/>
          <w:szCs w:val="20"/>
        </w:rPr>
        <w:t>Kotoribi</w:t>
      </w:r>
      <w:proofErr w:type="spellEnd"/>
      <w:r w:rsidRPr="004271AA">
        <w:rPr>
          <w:rFonts w:ascii="Arial" w:hAnsi="Arial" w:cs="Arial"/>
          <w:sz w:val="20"/>
          <w:szCs w:val="20"/>
        </w:rPr>
        <w:t xml:space="preserve">, </w:t>
      </w:r>
      <w:r w:rsidR="004271AA" w:rsidRPr="004271AA">
        <w:rPr>
          <w:rFonts w:ascii="Arial" w:hAnsi="Arial" w:cs="Arial"/>
          <w:sz w:val="20"/>
          <w:szCs w:val="20"/>
        </w:rPr>
        <w:t>27.01</w:t>
      </w:r>
      <w:r w:rsidRPr="004271AA">
        <w:rPr>
          <w:rFonts w:ascii="Arial" w:hAnsi="Arial" w:cs="Arial"/>
          <w:sz w:val="20"/>
          <w:szCs w:val="20"/>
        </w:rPr>
        <w:t>.202</w:t>
      </w:r>
      <w:r w:rsidR="004271AA" w:rsidRPr="004271AA">
        <w:rPr>
          <w:rFonts w:ascii="Arial" w:hAnsi="Arial" w:cs="Arial"/>
          <w:sz w:val="20"/>
          <w:szCs w:val="20"/>
        </w:rPr>
        <w:t>5</w:t>
      </w:r>
      <w:r w:rsidRPr="004271AA">
        <w:rPr>
          <w:rFonts w:ascii="Arial" w:hAnsi="Arial" w:cs="Arial"/>
          <w:sz w:val="20"/>
          <w:szCs w:val="20"/>
        </w:rPr>
        <w:t xml:space="preserve">.                       </w:t>
      </w:r>
      <w:r w:rsidR="00643990" w:rsidRPr="004271AA">
        <w:rPr>
          <w:rFonts w:ascii="Arial" w:hAnsi="Arial" w:cs="Arial"/>
          <w:sz w:val="20"/>
          <w:szCs w:val="20"/>
        </w:rPr>
        <w:t xml:space="preserve">                                                  Ravnateljica Dječjeg vrtića Kotoriba</w:t>
      </w:r>
      <w:r w:rsidRPr="004271AA">
        <w:rPr>
          <w:rFonts w:ascii="Arial" w:hAnsi="Arial" w:cs="Arial"/>
          <w:sz w:val="20"/>
          <w:szCs w:val="20"/>
        </w:rPr>
        <w:t xml:space="preserve">                                             </w:t>
      </w:r>
      <w:r w:rsidR="00D82D84" w:rsidRPr="004271AA">
        <w:rPr>
          <w:rFonts w:ascii="Arial" w:hAnsi="Arial" w:cs="Arial"/>
          <w:sz w:val="20"/>
          <w:szCs w:val="20"/>
        </w:rPr>
        <w:t xml:space="preserve">                                                                               </w:t>
      </w:r>
    </w:p>
    <w:p w14:paraId="311CEDA4" w14:textId="77777777" w:rsidR="008B1B3D" w:rsidRPr="004271AA" w:rsidRDefault="008B1B3D" w:rsidP="00D82D84">
      <w:pPr>
        <w:pStyle w:val="Bezproreda"/>
        <w:ind w:left="-709"/>
        <w:jc w:val="both"/>
        <w:rPr>
          <w:rFonts w:ascii="Arial" w:hAnsi="Arial" w:cs="Arial"/>
          <w:sz w:val="20"/>
          <w:szCs w:val="20"/>
        </w:rPr>
      </w:pPr>
    </w:p>
    <w:p w14:paraId="42001AA6" w14:textId="4FE19415" w:rsidR="008B1B3D" w:rsidRPr="004271AA" w:rsidRDefault="00643990" w:rsidP="00D82D84">
      <w:pPr>
        <w:pStyle w:val="Bezproreda"/>
        <w:ind w:left="-709"/>
        <w:jc w:val="both"/>
        <w:rPr>
          <w:rFonts w:ascii="Arial" w:hAnsi="Arial" w:cs="Arial"/>
          <w:sz w:val="20"/>
          <w:szCs w:val="20"/>
        </w:rPr>
      </w:pPr>
      <w:r w:rsidRPr="004271AA">
        <w:rPr>
          <w:rFonts w:ascii="Arial" w:hAnsi="Arial" w:cs="Arial"/>
          <w:sz w:val="20"/>
          <w:szCs w:val="20"/>
        </w:rPr>
        <w:t xml:space="preserve">                                                                                                                      </w:t>
      </w:r>
      <w:proofErr w:type="spellStart"/>
      <w:r w:rsidRPr="004271AA">
        <w:rPr>
          <w:rFonts w:ascii="Arial" w:hAnsi="Arial" w:cs="Arial"/>
          <w:sz w:val="20"/>
          <w:szCs w:val="20"/>
        </w:rPr>
        <w:t>Žaklina</w:t>
      </w:r>
      <w:proofErr w:type="spellEnd"/>
      <w:r w:rsidRPr="004271AA">
        <w:rPr>
          <w:rFonts w:ascii="Arial" w:hAnsi="Arial" w:cs="Arial"/>
          <w:sz w:val="20"/>
          <w:szCs w:val="20"/>
        </w:rPr>
        <w:t xml:space="preserve"> </w:t>
      </w:r>
      <w:proofErr w:type="spellStart"/>
      <w:r w:rsidRPr="004271AA">
        <w:rPr>
          <w:rFonts w:ascii="Arial" w:hAnsi="Arial" w:cs="Arial"/>
          <w:sz w:val="20"/>
          <w:szCs w:val="20"/>
        </w:rPr>
        <w:t>Gregurec</w:t>
      </w:r>
      <w:proofErr w:type="spellEnd"/>
      <w:r w:rsidRPr="004271AA">
        <w:rPr>
          <w:rFonts w:ascii="Arial" w:hAnsi="Arial" w:cs="Arial"/>
          <w:sz w:val="20"/>
          <w:szCs w:val="20"/>
        </w:rPr>
        <w:t xml:space="preserve"> </w:t>
      </w:r>
      <w:proofErr w:type="spellStart"/>
      <w:r w:rsidRPr="004271AA">
        <w:rPr>
          <w:rFonts w:ascii="Arial" w:hAnsi="Arial" w:cs="Arial"/>
          <w:sz w:val="20"/>
          <w:szCs w:val="20"/>
        </w:rPr>
        <w:t>Kranjec</w:t>
      </w:r>
      <w:proofErr w:type="spellEnd"/>
    </w:p>
    <w:p w14:paraId="576ABCBB" w14:textId="77777777" w:rsidR="008B1B3D" w:rsidRPr="004271AA" w:rsidRDefault="008B1B3D" w:rsidP="00D82D84">
      <w:pPr>
        <w:pStyle w:val="Bezproreda"/>
        <w:ind w:left="-709"/>
        <w:jc w:val="both"/>
        <w:rPr>
          <w:rFonts w:ascii="Arial" w:hAnsi="Arial" w:cs="Arial"/>
          <w:sz w:val="20"/>
          <w:szCs w:val="20"/>
        </w:rPr>
      </w:pPr>
    </w:p>
    <w:p w14:paraId="318F7E59" w14:textId="77777777" w:rsidR="004E55E9" w:rsidRPr="00FB4A3F" w:rsidRDefault="004E55E9" w:rsidP="00D82D84">
      <w:pPr>
        <w:ind w:left="-709"/>
        <w:rPr>
          <w:color w:val="FF0000"/>
        </w:rPr>
      </w:pPr>
    </w:p>
    <w:sectPr w:rsidR="004E55E9" w:rsidRPr="00FB4A3F" w:rsidSect="00060503">
      <w:headerReference w:type="even" r:id="rId7"/>
      <w:headerReference w:type="default" r:id="rId8"/>
      <w:footerReference w:type="even" r:id="rId9"/>
      <w:footerReference w:type="default" r:id="rId10"/>
      <w:headerReference w:type="first" r:id="rId11"/>
      <w:footerReference w:type="first" r:id="rId12"/>
      <w:pgSz w:w="11906" w:h="16838"/>
      <w:pgMar w:top="1418" w:right="707"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8411C" w14:textId="77777777" w:rsidR="004A185E" w:rsidRDefault="004A185E" w:rsidP="00D82D84">
      <w:pPr>
        <w:spacing w:after="0" w:line="240" w:lineRule="auto"/>
      </w:pPr>
      <w:r>
        <w:separator/>
      </w:r>
    </w:p>
  </w:endnote>
  <w:endnote w:type="continuationSeparator" w:id="0">
    <w:p w14:paraId="018ECAE0" w14:textId="77777777" w:rsidR="004A185E" w:rsidRDefault="004A185E" w:rsidP="00D8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83A8" w14:textId="77777777" w:rsidR="00D82D84" w:rsidRDefault="00D82D8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98545"/>
      <w:docPartObj>
        <w:docPartGallery w:val="Page Numbers (Bottom of Page)"/>
        <w:docPartUnique/>
      </w:docPartObj>
    </w:sdtPr>
    <w:sdtEndPr/>
    <w:sdtContent>
      <w:p w14:paraId="33ADC4CC" w14:textId="4D39CD31" w:rsidR="00D82D84" w:rsidRDefault="00D82D84">
        <w:pPr>
          <w:pStyle w:val="Podnoje"/>
          <w:jc w:val="right"/>
        </w:pPr>
        <w:r>
          <w:fldChar w:fldCharType="begin"/>
        </w:r>
        <w:r>
          <w:instrText>PAGE   \* MERGEFORMAT</w:instrText>
        </w:r>
        <w:r>
          <w:fldChar w:fldCharType="separate"/>
        </w:r>
        <w:r>
          <w:t>2</w:t>
        </w:r>
        <w:r>
          <w:fldChar w:fldCharType="end"/>
        </w:r>
      </w:p>
    </w:sdtContent>
  </w:sdt>
  <w:p w14:paraId="641CD3D2" w14:textId="77777777" w:rsidR="00D82D84" w:rsidRDefault="00D82D8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503B" w14:textId="77777777" w:rsidR="00D82D84" w:rsidRDefault="00D82D8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7188E" w14:textId="77777777" w:rsidR="004A185E" w:rsidRDefault="004A185E" w:rsidP="00D82D84">
      <w:pPr>
        <w:spacing w:after="0" w:line="240" w:lineRule="auto"/>
      </w:pPr>
      <w:r>
        <w:separator/>
      </w:r>
    </w:p>
  </w:footnote>
  <w:footnote w:type="continuationSeparator" w:id="0">
    <w:p w14:paraId="6A9195C9" w14:textId="77777777" w:rsidR="004A185E" w:rsidRDefault="004A185E" w:rsidP="00D82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DF49D" w14:textId="77777777" w:rsidR="00D82D84" w:rsidRDefault="00D82D8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747A" w14:textId="77777777" w:rsidR="00D82D84" w:rsidRDefault="00D82D8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D94E" w14:textId="77777777" w:rsidR="00D82D84" w:rsidRDefault="00D82D8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F0D31"/>
    <w:multiLevelType w:val="hybridMultilevel"/>
    <w:tmpl w:val="67FA5C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537D26F9"/>
    <w:multiLevelType w:val="hybridMultilevel"/>
    <w:tmpl w:val="A10A83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3D"/>
    <w:rsid w:val="000116B4"/>
    <w:rsid w:val="00024C19"/>
    <w:rsid w:val="0003731E"/>
    <w:rsid w:val="000429B9"/>
    <w:rsid w:val="00045384"/>
    <w:rsid w:val="00051EAA"/>
    <w:rsid w:val="00053A16"/>
    <w:rsid w:val="00060503"/>
    <w:rsid w:val="00070E03"/>
    <w:rsid w:val="000B0CD8"/>
    <w:rsid w:val="000C6D66"/>
    <w:rsid w:val="000C771C"/>
    <w:rsid w:val="000D0A55"/>
    <w:rsid w:val="000D77AE"/>
    <w:rsid w:val="000F51FD"/>
    <w:rsid w:val="000F7740"/>
    <w:rsid w:val="0010606A"/>
    <w:rsid w:val="00111761"/>
    <w:rsid w:val="0011229C"/>
    <w:rsid w:val="00116136"/>
    <w:rsid w:val="00123267"/>
    <w:rsid w:val="00174D4F"/>
    <w:rsid w:val="00201055"/>
    <w:rsid w:val="00213BC0"/>
    <w:rsid w:val="00271E71"/>
    <w:rsid w:val="002D2761"/>
    <w:rsid w:val="003035C5"/>
    <w:rsid w:val="00312910"/>
    <w:rsid w:val="003351E2"/>
    <w:rsid w:val="00342FEE"/>
    <w:rsid w:val="00352411"/>
    <w:rsid w:val="00367A1B"/>
    <w:rsid w:val="00381A92"/>
    <w:rsid w:val="00381BAF"/>
    <w:rsid w:val="003A0F97"/>
    <w:rsid w:val="003B0B20"/>
    <w:rsid w:val="00414135"/>
    <w:rsid w:val="004149A6"/>
    <w:rsid w:val="004271AA"/>
    <w:rsid w:val="00430615"/>
    <w:rsid w:val="00457EA1"/>
    <w:rsid w:val="00497A48"/>
    <w:rsid w:val="004A185E"/>
    <w:rsid w:val="004B19EA"/>
    <w:rsid w:val="004B290A"/>
    <w:rsid w:val="004B4897"/>
    <w:rsid w:val="004C4BC9"/>
    <w:rsid w:val="004C5D5E"/>
    <w:rsid w:val="004E55E9"/>
    <w:rsid w:val="004F345A"/>
    <w:rsid w:val="00530D4F"/>
    <w:rsid w:val="00535DDE"/>
    <w:rsid w:val="0053795E"/>
    <w:rsid w:val="005724DB"/>
    <w:rsid w:val="005C1D0F"/>
    <w:rsid w:val="005C29CF"/>
    <w:rsid w:val="005F2D03"/>
    <w:rsid w:val="00600D50"/>
    <w:rsid w:val="0061078F"/>
    <w:rsid w:val="00643990"/>
    <w:rsid w:val="00650B86"/>
    <w:rsid w:val="00654E0D"/>
    <w:rsid w:val="00657975"/>
    <w:rsid w:val="00672B76"/>
    <w:rsid w:val="006758F6"/>
    <w:rsid w:val="00684C88"/>
    <w:rsid w:val="006A05D8"/>
    <w:rsid w:val="00745F3B"/>
    <w:rsid w:val="00746834"/>
    <w:rsid w:val="00773DB2"/>
    <w:rsid w:val="007778CD"/>
    <w:rsid w:val="007A0D3F"/>
    <w:rsid w:val="007B6079"/>
    <w:rsid w:val="007C3D11"/>
    <w:rsid w:val="00812886"/>
    <w:rsid w:val="008164AF"/>
    <w:rsid w:val="00821AC5"/>
    <w:rsid w:val="00833107"/>
    <w:rsid w:val="008616C6"/>
    <w:rsid w:val="00865E71"/>
    <w:rsid w:val="008A1C5E"/>
    <w:rsid w:val="008B1B3D"/>
    <w:rsid w:val="008B6461"/>
    <w:rsid w:val="008C7DFC"/>
    <w:rsid w:val="008D2109"/>
    <w:rsid w:val="008D6C71"/>
    <w:rsid w:val="008E0198"/>
    <w:rsid w:val="008F47F7"/>
    <w:rsid w:val="00914A7F"/>
    <w:rsid w:val="00924214"/>
    <w:rsid w:val="00936A65"/>
    <w:rsid w:val="009A4A56"/>
    <w:rsid w:val="009A7A28"/>
    <w:rsid w:val="009D56D2"/>
    <w:rsid w:val="00A445E6"/>
    <w:rsid w:val="00A56DD8"/>
    <w:rsid w:val="00A7211E"/>
    <w:rsid w:val="00A868E9"/>
    <w:rsid w:val="00AA36D3"/>
    <w:rsid w:val="00AA5870"/>
    <w:rsid w:val="00AA7AF8"/>
    <w:rsid w:val="00AB2C63"/>
    <w:rsid w:val="00AD6000"/>
    <w:rsid w:val="00AE6A95"/>
    <w:rsid w:val="00AF1DFA"/>
    <w:rsid w:val="00B171E2"/>
    <w:rsid w:val="00B31412"/>
    <w:rsid w:val="00B63E32"/>
    <w:rsid w:val="00B73764"/>
    <w:rsid w:val="00B8433D"/>
    <w:rsid w:val="00BA1B58"/>
    <w:rsid w:val="00BF5535"/>
    <w:rsid w:val="00C0392C"/>
    <w:rsid w:val="00C30906"/>
    <w:rsid w:val="00C5037A"/>
    <w:rsid w:val="00C83DC8"/>
    <w:rsid w:val="00C90CE7"/>
    <w:rsid w:val="00CC7EFA"/>
    <w:rsid w:val="00D35F4F"/>
    <w:rsid w:val="00D508E8"/>
    <w:rsid w:val="00D53B31"/>
    <w:rsid w:val="00D60B2C"/>
    <w:rsid w:val="00D725FC"/>
    <w:rsid w:val="00D82D84"/>
    <w:rsid w:val="00D8517B"/>
    <w:rsid w:val="00D8788C"/>
    <w:rsid w:val="00DA243B"/>
    <w:rsid w:val="00DA6131"/>
    <w:rsid w:val="00DA74AE"/>
    <w:rsid w:val="00DB4E07"/>
    <w:rsid w:val="00DC3A0C"/>
    <w:rsid w:val="00DE2899"/>
    <w:rsid w:val="00E062A2"/>
    <w:rsid w:val="00E10981"/>
    <w:rsid w:val="00E11F39"/>
    <w:rsid w:val="00E32144"/>
    <w:rsid w:val="00E372C0"/>
    <w:rsid w:val="00E56044"/>
    <w:rsid w:val="00EA207B"/>
    <w:rsid w:val="00EC4341"/>
    <w:rsid w:val="00EC6353"/>
    <w:rsid w:val="00EF7344"/>
    <w:rsid w:val="00F27417"/>
    <w:rsid w:val="00F313BA"/>
    <w:rsid w:val="00F77BB9"/>
    <w:rsid w:val="00F92320"/>
    <w:rsid w:val="00FB4A3F"/>
    <w:rsid w:val="00FC1A54"/>
    <w:rsid w:val="00FC30B4"/>
    <w:rsid w:val="00FE4666"/>
    <w:rsid w:val="00FF70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3BC2"/>
  <w15:chartTrackingRefBased/>
  <w15:docId w15:val="{F6BD71E7-A92F-453A-B6C6-9A1088D8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B3D"/>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B1B3D"/>
    <w:pPr>
      <w:ind w:left="720"/>
      <w:contextualSpacing/>
    </w:pPr>
  </w:style>
  <w:style w:type="paragraph" w:styleId="Bezproreda">
    <w:name w:val="No Spacing"/>
    <w:uiPriority w:val="1"/>
    <w:qFormat/>
    <w:rsid w:val="008B1B3D"/>
    <w:pPr>
      <w:spacing w:after="0" w:line="240" w:lineRule="auto"/>
    </w:pPr>
    <w:rPr>
      <w:kern w:val="0"/>
      <w14:ligatures w14:val="none"/>
    </w:rPr>
  </w:style>
  <w:style w:type="paragraph" w:styleId="Zaglavlje">
    <w:name w:val="header"/>
    <w:basedOn w:val="Normal"/>
    <w:link w:val="ZaglavljeChar"/>
    <w:uiPriority w:val="99"/>
    <w:unhideWhenUsed/>
    <w:rsid w:val="00D82D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2D84"/>
    <w:rPr>
      <w:kern w:val="0"/>
      <w14:ligatures w14:val="none"/>
    </w:rPr>
  </w:style>
  <w:style w:type="paragraph" w:styleId="Podnoje">
    <w:name w:val="footer"/>
    <w:basedOn w:val="Normal"/>
    <w:link w:val="PodnojeChar"/>
    <w:uiPriority w:val="99"/>
    <w:unhideWhenUsed/>
    <w:rsid w:val="00D82D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2D84"/>
    <w:rPr>
      <w:kern w:val="0"/>
      <w14:ligatures w14:val="none"/>
    </w:rPr>
  </w:style>
  <w:style w:type="table" w:styleId="Reetkatablice">
    <w:name w:val="Table Grid"/>
    <w:basedOn w:val="Obinatablica"/>
    <w:uiPriority w:val="39"/>
    <w:rsid w:val="00DE28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1537</Words>
  <Characters>8762</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2023-10-10T05:10:00Z</cp:lastPrinted>
  <dcterms:created xsi:type="dcterms:W3CDTF">2025-01-27T11:48:00Z</dcterms:created>
  <dcterms:modified xsi:type="dcterms:W3CDTF">2025-01-27T11:48:00Z</dcterms:modified>
</cp:coreProperties>
</file>